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Cs w:val="28"/>
        </w:rPr>
      </w:pPr>
      <w:r>
        <w:rPr>
          <w:b/>
          <w:szCs w:val="28"/>
        </w:rPr>
        <w:t xml:space="preserve">ФИНАНСОВО-ЭКОНОМИЧЕСКОЕ ОБОСНОВАНИЕ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jc w:val="center"/>
        <w:rPr>
          <w:b/>
          <w:szCs w:val="28"/>
        </w:rPr>
      </w:pPr>
      <w:r>
        <w:rPr>
          <w:b/>
          <w:szCs w:val="28"/>
        </w:rPr>
        <w:t xml:space="preserve">к проекту закона Новосибирской области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904"/>
        <w:spacing w:line="238" w:lineRule="auto"/>
        <w:contextualSpacing/>
        <w:jc w:val="center"/>
        <w:rPr>
          <w:rFonts w:ascii="TimesNewRoman" w:hAnsi="TimesNewRoman" w:eastAsia="TimesNewRoman" w:cs="TimesNewRoman"/>
          <w:color w:val="000000"/>
          <w:sz w:val="28"/>
          <w:szCs w:val="28"/>
        </w:rPr>
      </w:pPr>
      <w:r>
        <w:rPr>
          <w:rFonts w:ascii="TimesNewRoman" w:hAnsi="TimesNewRoman" w:eastAsia="TimesNewRoman" w:cs="TimesNewRoman"/>
          <w:color w:val="000000"/>
          <w:sz w:val="28"/>
          <w:szCs w:val="28"/>
        </w:rPr>
        <w:t xml:space="preserve">«О внесении изменения в статью 2 Закона Новосибирской области «О разграничении полномочий органов государственной власти Новосибирской области в сфере трудовых отношений»</w:t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</w:p>
    <w:p>
      <w:pPr>
        <w:pStyle w:val="899"/>
        <w:rPr>
          <w:b w:val="0"/>
        </w:rPr>
      </w:pPr>
      <w:r>
        <w:rPr>
          <w:b w:val="0"/>
        </w:rPr>
      </w:r>
      <w:r>
        <w:rPr>
          <w:b w:val="0"/>
        </w:rPr>
      </w:r>
      <w:r>
        <w:rPr>
          <w:b w:val="0"/>
        </w:rPr>
      </w:r>
    </w:p>
    <w:p>
      <w:pPr>
        <w:pStyle w:val="90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 w:val="0"/>
          <w:bCs w:val="0"/>
        </w:rPr>
        <w:t xml:space="preserve">П</w:t>
      </w:r>
      <w:r>
        <w:rPr>
          <w:b w:val="0"/>
          <w:bCs w:val="0"/>
        </w:rPr>
        <w:t xml:space="preserve">роектом закона Н</w:t>
      </w:r>
      <w:r>
        <w:rPr>
          <w:rFonts w:ascii="Times New Roman" w:hAnsi="Times New Roman" w:eastAsia="Times New Roman" w:cs="Times New Roman"/>
          <w:b w:val="0"/>
          <w:bCs w:val="0"/>
        </w:rPr>
        <w:t xml:space="preserve">овосибирской области «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О внесении изменения в статью 2 Закона Новосибирской области «О разграничении полномочий ор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ганов государственной власти Новосибирской области в сфере трудовых отношений»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(д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алее – проект закона) правовые нормы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Закона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от 5 июля 2017 года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№ 183-ОЗ «О разграничении полномочий органов государственной власти Новосибирской области в сфере трудовых отношений»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приводятся в соответствие с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положениями Трудового кодекса Российской Федерации, полномочия Правительства Новосибирской области в сфере трудовых отношений дополняются полномочием по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установлению размеров и условий осуществления выплат за наставничество работникам государственных учреждений Новосибирской области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</w:rPr>
        <w:t xml:space="preserve">1.</w:t>
      </w:r>
      <w:r>
        <w:rPr>
          <w:b/>
        </w:rPr>
        <w:t xml:space="preserve"> Министерство жилищно-коммунального хозяйства и энергетики Новосибирской области.</w:t>
      </w:r>
      <w:r>
        <w:rPr>
          <w:b/>
        </w:rPr>
      </w:r>
      <w:r>
        <w:rPr>
          <w:b/>
          <w:bCs/>
          <w:highlight w:val="none"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полномочий Новосибирской области:</w:t>
      </w:r>
    </w:p>
    <w:p>
      <w:pPr>
        <w:ind w:firstLine="709"/>
        <w:jc w:val="both"/>
      </w:pPr>
      <w:r>
        <w:t xml:space="preserve">осуществление государственных функций в сфере жилищно-коммунального хозяйства;</w:t>
      </w:r>
    </w:p>
    <w:p>
      <w:pPr>
        <w:ind w:firstLine="709"/>
        <w:jc w:val="both"/>
      </w:pPr>
      <w:r>
        <w:t xml:space="preserve">материально-техническое и финансовое обеспечение деятельности органов государстве</w:t>
      </w:r>
      <w:r>
        <w:t xml:space="preserve">нной власти субъекта Российской Федерации и государственных учреждений субъекта Российской Федерации,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</w:t>
      </w:r>
      <w:r>
        <w:t xml:space="preserve"> Российской Федерации (в части материально-технического и финансового обеспечения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Федерации);</w:t>
      </w:r>
    </w:p>
    <w:p>
      <w:pPr>
        <w:ind w:firstLine="709"/>
        <w:jc w:val="both"/>
      </w:pPr>
      <w:r>
        <w:t xml:space="preserve">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Федерации.</w:t>
      </w:r>
    </w:p>
    <w:p>
      <w:pPr>
        <w:ind w:firstLine="709"/>
        <w:jc w:val="both"/>
      </w:pPr>
      <w:r>
        <w:t xml:space="preserve">Законом Новосибирской области от 20 декабря 2024 года № 546-ОЗ «Об областном бюджете Новосибирской области на 2025 год и плановый период 2026 и 2027 годов» (далее – Закон Новосибирской области № 546-ОЗ)</w:t>
      </w:r>
      <w:r>
        <w:t xml:space="preserve"> министерству жилищно-коммунального хозяйства и энергетики Новосибирской области предусмотрены бюджетные ассигнования на: </w:t>
      </w:r>
    </w:p>
    <w:p>
      <w:pPr>
        <w:ind w:firstLine="709"/>
        <w:jc w:val="both"/>
      </w:pPr>
      <w:r>
        <w:t xml:space="preserve">210 000 00 1 «Осуществление государственных функций в сфере жилищно-коммунального хозяйства»:</w:t>
      </w:r>
    </w:p>
    <w:p>
      <w:pPr>
        <w:ind w:firstLine="709"/>
        <w:jc w:val="both"/>
      </w:pPr>
      <w:r>
        <w:t xml:space="preserve">КБК 210 0505 9900000590 – 117 206 300,00 рублей на 2025 год;</w:t>
      </w:r>
    </w:p>
    <w:p>
      <w:pPr>
        <w:ind w:firstLine="709"/>
        <w:jc w:val="both"/>
      </w:pPr>
      <w:r>
        <w:t xml:space="preserve">КБК 210 0505 9900000590 – 130 992 400,00 рублей на 2026 год;</w:t>
      </w:r>
    </w:p>
    <w:p>
      <w:pPr>
        <w:ind w:firstLine="709"/>
        <w:jc w:val="both"/>
      </w:pPr>
      <w:r>
        <w:t xml:space="preserve">КБК 210 0505 9900000590 – 138 495 400,00 рублей на 2027 год.</w:t>
      </w:r>
    </w:p>
    <w:p>
      <w:pPr>
        <w:ind w:firstLine="709"/>
        <w:jc w:val="both"/>
      </w:pPr>
      <w:r>
        <w:t xml:space="preserve">210 000 03 8 «Обеспечение деятельности государственных учреждений в области гражданской обороны, защиты населения и территории от чрезвычайных ситуаций природного и техногенного характера, пожарной безопасности»:</w:t>
      </w:r>
    </w:p>
    <w:p>
      <w:pPr>
        <w:ind w:firstLine="709"/>
        <w:jc w:val="both"/>
      </w:pPr>
      <w:r>
        <w:t xml:space="preserve">КБК 210 0309 1030100590 – 441 432 400,00 рублей на 2025 год;</w:t>
      </w:r>
    </w:p>
    <w:p>
      <w:pPr>
        <w:ind w:firstLine="709"/>
        <w:jc w:val="both"/>
      </w:pPr>
      <w:r>
        <w:t xml:space="preserve">КБК 210 0309 1030100590 – 397 493 900,00 рублей на 2026 год;</w:t>
      </w:r>
    </w:p>
    <w:p>
      <w:pPr>
        <w:ind w:firstLine="709"/>
        <w:jc w:val="both"/>
      </w:pPr>
      <w:r>
        <w:t xml:space="preserve">КБК 210 0309 1030100590 – 423 315 400,00 рублей на 2027 год;</w:t>
      </w:r>
    </w:p>
    <w:p>
      <w:pPr>
        <w:ind w:firstLine="709"/>
        <w:jc w:val="both"/>
      </w:pPr>
      <w:r>
        <w:t xml:space="preserve">КБК 210 0310 1030100590 – 2 006 301 720,00 рублей на 2025 год;</w:t>
      </w:r>
    </w:p>
    <w:p>
      <w:pPr>
        <w:ind w:firstLine="709"/>
        <w:jc w:val="both"/>
      </w:pPr>
      <w:r>
        <w:t xml:space="preserve">КБК 210 0310 1030100590 – 2 007 122 600,00 рублей на 2026 год;</w:t>
      </w:r>
    </w:p>
    <w:p>
      <w:pPr>
        <w:ind w:firstLine="709"/>
        <w:jc w:val="both"/>
      </w:pPr>
      <w:r>
        <w:t xml:space="preserve">КБК 210 0310 1030100590 – 2 129 123 200,00 рублей на 2027 год.</w:t>
      </w:r>
    </w:p>
    <w:p>
      <w:pPr>
        <w:ind w:firstLine="709"/>
        <w:jc w:val="both"/>
      </w:pPr>
      <w:r>
        <w:t xml:space="preserve">210 100 59 3 «Мероприятия по обучению и повышению квалификации должностных лиц организаций Новосибирской области вопросам обеспечения безопасности жизнедеятельности»:</w:t>
      </w:r>
    </w:p>
    <w:p>
      <w:pPr>
        <w:ind w:firstLine="709"/>
        <w:jc w:val="both"/>
      </w:pPr>
      <w:r>
        <w:t xml:space="preserve">КБК 210 0705 1030103710 – 26 426 200,00 рублей на 2025 год;</w:t>
      </w:r>
    </w:p>
    <w:p>
      <w:pPr>
        <w:ind w:firstLine="709"/>
        <w:jc w:val="both"/>
      </w:pPr>
      <w:r>
        <w:t xml:space="preserve">КБК 210 0705 1030103710 – 29 356 100,00 рублей на 2026 год;</w:t>
      </w:r>
    </w:p>
    <w:p>
      <w:pPr>
        <w:ind w:firstLine="709"/>
        <w:jc w:val="both"/>
      </w:pPr>
      <w:r>
        <w:t xml:space="preserve">КБК 210 0705 1030103710 – 31 484 400,00 рублей на 2027 год. 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министерства жилищно-коммунального хозяйства и энергетики Новосибирской области.</w:t>
      </w:r>
    </w:p>
    <w:p>
      <w:pPr>
        <w:ind w:firstLine="709"/>
        <w:jc w:val="both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</w:rPr>
        <w:t xml:space="preserve">2. Министерство здравоохранения Новосибирской области.</w:t>
      </w:r>
      <w:r>
        <w:rPr>
          <w:b/>
        </w:rPr>
      </w:r>
      <w:r>
        <w:rPr>
          <w:b/>
          <w:bCs/>
          <w:highlight w:val="none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целях снижения </w:t>
      </w:r>
      <w:r>
        <w:rPr>
          <w:color w:val="000000"/>
          <w:szCs w:val="28"/>
        </w:rPr>
        <w:t xml:space="preserve">кадрового дефицита, повышения доли гарантированных выплат и совершенствования системы оплаты труда внесены изменения в постановление Правительства Российской Федерации от 28.12.2023 № 2353 «О Программе государственных гарантий бесплатного оказания граждана</w:t>
      </w:r>
      <w:r>
        <w:rPr>
          <w:color w:val="000000"/>
          <w:szCs w:val="28"/>
        </w:rPr>
        <w:t xml:space="preserve">м медицинской помощи на 2024 год и на плановый период 2025 и 2026 годов» (далее – Постановление Правительства Российской Федерации от 28.12.2023 № 2353). В соответствии с пунктом 6 Постановления Правительства Российской Федерации от 28.12.2023 № 2353 испол</w:t>
      </w:r>
      <w:r>
        <w:rPr>
          <w:color w:val="000000"/>
          <w:szCs w:val="28"/>
        </w:rPr>
        <w:t xml:space="preserve">нительным органам субъектов Российской Федерации рекомендовано обеспечить с 01.04.2024 для медицинских работников подведомственных медицинских организаций долю выплат по окладам в структуре фондов заработной платы медицинских организаций не ниже 50% без уч</w:t>
      </w:r>
      <w:r>
        <w:rPr>
          <w:color w:val="000000"/>
          <w:szCs w:val="28"/>
        </w:rPr>
        <w:t xml:space="preserve">ета компенсационных выплат, сохранив при этом уровень заработной платы медицинских работников не ниже уровня заработной платы предшествующего года с учетом ее повышения в установленном законодательством порядке. Подходы к изменению систем оплаты труда госу</w:t>
      </w:r>
      <w:r>
        <w:rPr>
          <w:color w:val="000000"/>
          <w:szCs w:val="28"/>
        </w:rPr>
        <w:t xml:space="preserve">дарственных учреждений здравоохранения Новосибирской области определены методическими рекомендациями по порядку исполнения пункта 6 Постановления Правительства Российской Федерации от 28.12.2023 № 2353 (далее – методические рекомендации) (направлены письмо</w:t>
      </w:r>
      <w:r>
        <w:rPr>
          <w:color w:val="000000"/>
          <w:szCs w:val="28"/>
        </w:rPr>
        <w:t xml:space="preserve">м Министерства здравоохранения Российской Федерации № 16-3/И/1-5816, Министерства труда и социальной защиты Российской Федерации № 14-1/10/П-2380 от 29.03.2024, зарегистрированы в министерстве здравоохранения Новосибирской области № 6588/24 от 01.04.2024).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целях исполнения пункта 6 Постановления Правительства Российской Федерации от 28.12.2023 № 2353 и в соответствии с методическими рекомендациями размеры окладов изменены дополнительным </w:t>
      </w:r>
      <w:r>
        <w:rPr>
          <w:color w:val="000000"/>
          <w:szCs w:val="28"/>
        </w:rPr>
        <w:t xml:space="preserve">соглашением № 4 к Отраслевому соглашению по государственным учреждениям, подведомственным министерству здравоохранения Новосибирской области, на 2022–2024 годы от 19.04.2024 № 7, действие которого распространяется на правоотношения, возникшие с 01.04.2024.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соответствии с пунктом 3 методических рекомендаций при формировании систем оплаты труда размеры и условия оплаты труда медицинских работников медицинских организаций устанавливаются в пределах фонда заработной платы.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соответствии с пунктом 10 методических рекомендаций объем расходов на компенсационные выплаты рекомендуется пересмотреть в связи с изменением размеров окладов.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соответствии с пунктом 11 методических рекомендаций стимулирующие выплаты рекомендуется рассчитывать в пределах общего фонда заработной платы с учетом объема средств, направляемых на окладную часть заработной платы и компенсационные выплаты.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Также сообщаем, что в соответствии с Федеральным закон</w:t>
      </w:r>
      <w:r>
        <w:rPr>
          <w:color w:val="000000"/>
          <w:szCs w:val="28"/>
        </w:rPr>
        <w:t xml:space="preserve">ом от 22.04.2024 № 91-ФЗ «О внесении изменения в статью 152 Трудового кодекса Российской Федерации» внесены изменения в статью 152 Трудового кодекса Российской Федерации, согласно которым сверхурочная работа оплачивается исходя из размера заработной платы,</w:t>
      </w:r>
      <w:r>
        <w:rPr>
          <w:color w:val="000000"/>
          <w:szCs w:val="28"/>
        </w:rPr>
        <w:t xml:space="preserve"> установленного в соответствии с действующими у данного работодателя системами оплаты труда, включая компенсационные и стимулирующие выплаты, за первые два часа работы не менее чем в полуторном размере, за последующие часы - не менее чем в двойном размере.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У</w:t>
      </w:r>
      <w:r>
        <w:rPr>
          <w:color w:val="000000"/>
          <w:szCs w:val="28"/>
        </w:rPr>
        <w:t xml:space="preserve">становление выплат за наст</w:t>
      </w:r>
      <w:r>
        <w:rPr>
          <w:color w:val="000000"/>
          <w:szCs w:val="28"/>
        </w:rPr>
        <w:t xml:space="preserve">авничество работникам государственных учреждений, подведомственных министерству здравоохранения Новосибирской области, в пределах установленных фондов оплаты труда может повлечь за собой снижение доли выплат по окладам в структуре фондов заработной платы. 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</w:pPr>
      <w:r>
        <w:rPr>
          <w:color w:val="000000"/>
          <w:szCs w:val="28"/>
        </w:rPr>
        <w:t xml:space="preserve">Дополнительным соглашением № 4 к Отраслевому соглашению по государственным учреждениям, подведомственным министерству здравоохранения Новосибирской области, на 2022–2024 годы от 19.04.2024 № 7 Отраслевое тарифное соглашение по госуда</w:t>
      </w:r>
      <w:r>
        <w:rPr>
          <w:color w:val="000000"/>
          <w:szCs w:val="28"/>
        </w:rPr>
        <w:t xml:space="preserve">рственным учреждениям, подведомственным министерству здравоохранения Новосибирской области, на 2022–2024 годы, дополнено подпунктом 4.7.4. согласно которому по решению руководителя учреждения могут устанавливаться надбавки стимулирующего характера работник</w:t>
      </w:r>
      <w:r>
        <w:rPr>
          <w:color w:val="000000"/>
          <w:szCs w:val="28"/>
        </w:rPr>
        <w:t xml:space="preserve">ам учреждения за наставничество (методическое и практическое сопровождение молодых специалистов от 6 месяцев до 1 года после трудоустройства). Назначение наставника и размер доплаты наставнику оформляется локальным правовым актом учреждения. Средства облас</w:t>
      </w:r>
      <w:r>
        <w:rPr>
          <w:color w:val="000000"/>
          <w:szCs w:val="28"/>
        </w:rPr>
        <w:t xml:space="preserve">тного бюджета Новосибирской области на финансирование выплат за наставничество работникам государственных учреждений, подведомственных министерству здравоохранения Новосибирской области, не предусмотрены. Согласно позиции Федерального фонда обязательного м</w:t>
      </w:r>
      <w:r>
        <w:rPr>
          <w:color w:val="000000"/>
          <w:szCs w:val="28"/>
        </w:rPr>
        <w:t xml:space="preserve">едицинского страхования, в рамках системы обязательного медицинского страхования исполняются обязательства по предоставлению застрахованному лицу необходимой медицинской помощи при наступлении страхового случая и по ее оплате медицинской организации, а не </w:t>
      </w:r>
      <w:r>
        <w:rPr>
          <w:color w:val="000000"/>
          <w:szCs w:val="28"/>
        </w:rPr>
        <w:t xml:space="preserve">содержание учреждений здравоохранения. На основании сказанного, в</w:t>
      </w:r>
      <w:r>
        <w:rPr>
          <w:color w:val="000000"/>
          <w:szCs w:val="28"/>
        </w:rPr>
        <w:t xml:space="preserve">виду отсутствия методических рекомендаций либо разъяснений Министерства здравоохранения Российской Федерации и Федерального фонда обязательного медицинского страхования по вопросу возможности осуществления финансового обеспечения выплат за наставничество (</w:t>
      </w:r>
      <w:r>
        <w:rPr>
          <w:color w:val="000000"/>
          <w:szCs w:val="28"/>
        </w:rPr>
        <w:t xml:space="preserve">не связанных с оказанием медицинской помощи) за счет средств обязательного медицинского страхования, высказать мнение о том, является ли указанное расходование средств целевым для средств обязательного медицинского страхования не предоставляется возможным.</w:t>
      </w:r>
    </w:p>
    <w:p>
      <w:pPr>
        <w:ind w:firstLine="709"/>
        <w:jc w:val="both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</w:rPr>
        <w:t xml:space="preserve">3. Министерство культуры Новосибирской области</w:t>
      </w:r>
      <w:r>
        <w:rPr>
          <w:b/>
        </w:rPr>
        <w:t xml:space="preserve">.</w:t>
      </w:r>
      <w:r>
        <w:rPr>
          <w:b/>
        </w:rPr>
      </w:r>
      <w:r>
        <w:rPr>
          <w:b/>
          <w:bCs/>
          <w:highlight w:val="none"/>
        </w:rPr>
      </w:r>
    </w:p>
    <w:p>
      <w:pPr>
        <w:ind w:firstLine="709"/>
        <w:jc w:val="both"/>
      </w:pPr>
      <w:r>
        <w:t xml:space="preserve">Реализация проекта </w:t>
      </w:r>
      <w:r>
        <w:rPr>
          <w:szCs w:val="28"/>
        </w:rPr>
        <w:t xml:space="preserve">закона </w:t>
      </w:r>
      <w:r>
        <w:t xml:space="preserve">будет осуществляться в рамках</w:t>
      </w:r>
      <w:r>
        <w:t xml:space="preserve"> следующих</w:t>
      </w:r>
      <w:r>
        <w:t xml:space="preserve"> полномочий Новосибирской области:</w:t>
      </w:r>
    </w:p>
    <w:p>
      <w:pPr>
        <w:ind w:firstLine="709"/>
        <w:jc w:val="both"/>
      </w:pPr>
      <w:r>
        <w:t xml:space="preserve">- </w:t>
      </w:r>
      <w:r>
        <w:t xml:space="preserve">организации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 (1 01 01 0 043);</w:t>
      </w:r>
    </w:p>
    <w:p>
      <w:pPr>
        <w:ind w:firstLine="709"/>
        <w:jc w:val="both"/>
      </w:pPr>
      <w:r>
        <w:t xml:space="preserve">- </w:t>
      </w:r>
      <w:r>
        <w:t xml:space="preserve">организации предоставления дополнительного образования детей в государственных образовательных организациях субъектов Российской Федерации (1 01 01 0 044);</w:t>
      </w:r>
    </w:p>
    <w:p>
      <w:pPr>
        <w:ind w:firstLine="709"/>
        <w:jc w:val="both"/>
      </w:pPr>
      <w:r>
        <w:t xml:space="preserve">- </w:t>
      </w:r>
      <w:r>
        <w:t xml:space="preserve">организации библиотечного обслуживания населения библиотеками субъекта Российской Федерации, комплектования и обеспечения сохранности их библиотечных фондов (1 01 01 0 049);</w:t>
      </w:r>
    </w:p>
    <w:p>
      <w:pPr>
        <w:ind w:firstLine="709"/>
        <w:jc w:val="both"/>
      </w:pPr>
      <w:r>
        <w:t xml:space="preserve">- </w:t>
      </w:r>
      <w:r>
        <w:t xml:space="preserve">создания и поддержки государственных музеев (за исключением федеральных государственных музеев, перечень которых утверждается Правительством Российской Федерации) (1 01 01 0 050);</w:t>
      </w:r>
    </w:p>
    <w:p>
      <w:pPr>
        <w:ind w:firstLine="709"/>
        <w:jc w:val="both"/>
      </w:pPr>
      <w:r>
        <w:t xml:space="preserve">- </w:t>
      </w:r>
      <w:r>
        <w:t xml:space="preserve">создания и поддержки учреждений культуры и искусства (за исключением федеральных государственных учреждений культуры и искусства, перечень </w:t>
      </w:r>
      <w:r>
        <w:t xml:space="preserve">которых утверждается уполномоченным Правительством Российской Федерации федеральным органом исполнительной власти) (1 01 01 0 051);</w:t>
      </w:r>
    </w:p>
    <w:p>
      <w:pPr>
        <w:ind w:firstLine="709"/>
        <w:jc w:val="both"/>
      </w:pPr>
      <w:r>
        <w:t xml:space="preserve">- </w:t>
      </w:r>
      <w:r>
        <w:t xml:space="preserve">осуществления региональных и межмуниципальных программ и мероприятий по работе с детьми и молодежью (1 01 01 0 110).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Законом Новосибирской области </w:t>
      </w:r>
      <w:r>
        <w:rPr>
          <w:szCs w:val="28"/>
        </w:rPr>
        <w:t xml:space="preserve">№ 546-ОЗ </w:t>
      </w:r>
      <w:r>
        <w:rPr>
          <w:iCs/>
          <w:szCs w:val="28"/>
        </w:rPr>
        <w:t xml:space="preserve">министерству культуры Новосибирской области </w:t>
      </w:r>
      <w:r>
        <w:rPr>
          <w:szCs w:val="28"/>
        </w:rPr>
        <w:t xml:space="preserve">предусмотрены бюджетные ассигнования в рамках </w:t>
      </w:r>
      <w:r>
        <w:rPr>
          <w:szCs w:val="28"/>
        </w:rPr>
        <w:t xml:space="preserve">комплекса процессных мероприятий «Обеспечение функционирования государственной системы в сфере культуры» государственной программы Новосибирской области «Культура Новосибирской области», утвержденной постановлением Правительства Новосибирской области от 03</w:t>
      </w:r>
      <w:r>
        <w:rPr>
          <w:szCs w:val="28"/>
        </w:rPr>
        <w:t xml:space="preserve"> февраля </w:t>
      </w:r>
      <w:r>
        <w:rPr>
          <w:szCs w:val="28"/>
        </w:rPr>
        <w:t xml:space="preserve">2015</w:t>
      </w:r>
      <w:r>
        <w:rPr>
          <w:szCs w:val="28"/>
        </w:rPr>
        <w:t xml:space="preserve"> года № </w:t>
      </w:r>
      <w:r>
        <w:rPr>
          <w:szCs w:val="28"/>
        </w:rPr>
        <w:t xml:space="preserve">46-п «Об утверждении государственной программы Новосибирской области «Культура Новосибирской области», по направлению расходов «Финансовое обеспечение деятельности (оказание услуг) государственных учреждений» на: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- оказание услуг средними специальными учебными заведениями и приобретение имущества, проведение капитального ремонта, связанных с обеспечением деятельности данных учреждений (131 000 00 1):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</w:pPr>
      <w:r>
        <w:t xml:space="preserve">КБК 131 0704 11.3.01.00590 620 – 748</w:t>
      </w:r>
      <w:r>
        <w:t xml:space="preserve"> 459 </w:t>
      </w:r>
      <w:r>
        <w:t xml:space="preserve">3</w:t>
      </w:r>
      <w:r>
        <w:t xml:space="preserve">00,00</w:t>
      </w:r>
      <w:r>
        <w:t xml:space="preserve"> руб</w:t>
      </w:r>
      <w:r>
        <w:t xml:space="preserve">лей</w:t>
      </w:r>
      <w:r>
        <w:t xml:space="preserve"> на 2025 год</w:t>
      </w:r>
      <w:r>
        <w:rPr>
          <w:szCs w:val="28"/>
        </w:rPr>
        <w:t xml:space="preserve">;</w:t>
      </w:r>
    </w:p>
    <w:p>
      <w:pPr>
        <w:ind w:firstLine="709"/>
        <w:jc w:val="both"/>
      </w:pPr>
      <w:r>
        <w:t xml:space="preserve">КБК 131 0704 11.3.01.00590 620 – 821</w:t>
      </w:r>
      <w:r>
        <w:t xml:space="preserve"> </w:t>
      </w:r>
      <w:r>
        <w:t xml:space="preserve">138</w:t>
      </w:r>
      <w:r>
        <w:t xml:space="preserve"> </w:t>
      </w:r>
      <w:r>
        <w:t xml:space="preserve">9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2026 год;</w:t>
      </w:r>
    </w:p>
    <w:p>
      <w:pPr>
        <w:ind w:firstLine="709"/>
        <w:jc w:val="both"/>
      </w:pPr>
      <w:r>
        <w:t xml:space="preserve">КБК 131 0</w:t>
      </w:r>
      <w:r>
        <w:t xml:space="preserve">704 11.3.01.00590 620 – 876 342 </w:t>
      </w:r>
      <w:r>
        <w:t xml:space="preserve">6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2027 год.</w:t>
      </w:r>
    </w:p>
    <w:p>
      <w:pPr>
        <w:ind w:firstLine="709"/>
        <w:jc w:val="both"/>
      </w:pPr>
      <w:r>
        <w:t xml:space="preserve">- оказание услуг высшими учебными заведениями и приобретение имущества, проведение капитального ремонта, связанных с обеспечением деятельности данных учреждений (131 000 00 2):</w:t>
      </w:r>
    </w:p>
    <w:p>
      <w:pPr>
        <w:ind w:firstLine="709"/>
        <w:jc w:val="both"/>
      </w:pPr>
      <w:r>
        <w:t xml:space="preserve">КБК 131 0706 11.3.01.0</w:t>
      </w:r>
      <w:r>
        <w:t xml:space="preserve">0590 620 – 196 759 900,00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2025 год</w:t>
      </w:r>
      <w:r>
        <w:rPr>
          <w:szCs w:val="28"/>
        </w:rPr>
        <w:t xml:space="preserve">;</w:t>
      </w:r>
    </w:p>
    <w:p>
      <w:pPr>
        <w:ind w:firstLine="709"/>
        <w:jc w:val="both"/>
      </w:pPr>
      <w:r>
        <w:t xml:space="preserve">КБК 131 0</w:t>
      </w:r>
      <w:r>
        <w:t xml:space="preserve">706 11.3.01.00590 620 – 214 495 </w:t>
      </w:r>
      <w:r>
        <w:t xml:space="preserve">3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2026 год;</w:t>
      </w:r>
    </w:p>
    <w:p>
      <w:pPr>
        <w:ind w:firstLine="709"/>
        <w:jc w:val="both"/>
      </w:pPr>
      <w:r>
        <w:t xml:space="preserve">КБК 131 0</w:t>
      </w:r>
      <w:r>
        <w:t xml:space="preserve">706 11.3.01.00590 620 – 228 717 </w:t>
      </w:r>
      <w:r>
        <w:t xml:space="preserve">6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2027 год.</w:t>
      </w:r>
    </w:p>
    <w:p>
      <w:pPr>
        <w:ind w:firstLine="709"/>
        <w:jc w:val="both"/>
      </w:pPr>
      <w:r>
        <w:t xml:space="preserve">- оказание учреждениями услуг по реализации дополнительных общеобразовательных программ и обеспечение деятельности организаций дополнительного образования (131 000 01 4):</w:t>
      </w:r>
    </w:p>
    <w:p>
      <w:pPr>
        <w:ind w:firstLine="709"/>
        <w:jc w:val="both"/>
      </w:pPr>
      <w:r>
        <w:t xml:space="preserve">КБК 131 0</w:t>
      </w:r>
      <w:r>
        <w:t xml:space="preserve">703 11.3.01.00590 610 – 342 283 </w:t>
      </w:r>
      <w:r>
        <w:t xml:space="preserve">4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2025 год</w:t>
      </w:r>
      <w:r>
        <w:rPr>
          <w:szCs w:val="28"/>
        </w:rPr>
        <w:t xml:space="preserve">;</w:t>
      </w:r>
    </w:p>
    <w:p>
      <w:pPr>
        <w:ind w:firstLine="709"/>
        <w:jc w:val="both"/>
      </w:pPr>
      <w:r>
        <w:t xml:space="preserve">КБК 131 070</w:t>
      </w:r>
      <w:r>
        <w:t xml:space="preserve">3 11.3.01.00590 610 – 369 862 700,00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2026 год;</w:t>
      </w:r>
    </w:p>
    <w:p>
      <w:pPr>
        <w:ind w:firstLine="709"/>
        <w:jc w:val="both"/>
      </w:pPr>
      <w:r>
        <w:t xml:space="preserve">КБК 131 0703 11.3.01.00590 610 – </w:t>
      </w:r>
      <w:r>
        <w:t xml:space="preserve">394 467 </w:t>
      </w:r>
      <w:r>
        <w:t xml:space="preserve">2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2027 год.</w:t>
      </w:r>
    </w:p>
    <w:p>
      <w:pPr>
        <w:ind w:firstLine="709"/>
        <w:jc w:val="both"/>
      </w:pPr>
      <w:r>
        <w:t xml:space="preserve">- оказание услуг дворцами и домами культуры, другими учреждениями культуры и приобретение имущества, проведение капитального ремонта, связанных с обеспечением деятельности данных учреждений (131 000 00 5):</w:t>
      </w:r>
    </w:p>
    <w:p>
      <w:pPr>
        <w:ind w:firstLine="709"/>
        <w:jc w:val="both"/>
      </w:pPr>
      <w:r>
        <w:t xml:space="preserve">КБК 131 0801 11.3.01.00590 610 – 146</w:t>
      </w:r>
      <w:r>
        <w:t xml:space="preserve"> </w:t>
      </w:r>
      <w:r>
        <w:t xml:space="preserve">465</w:t>
      </w:r>
      <w:r>
        <w:t xml:space="preserve"> </w:t>
      </w:r>
      <w:r>
        <w:t xml:space="preserve">6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2025 год</w:t>
      </w:r>
      <w:r>
        <w:rPr>
          <w:szCs w:val="28"/>
        </w:rPr>
        <w:t xml:space="preserve">;</w:t>
      </w:r>
    </w:p>
    <w:p>
      <w:pPr>
        <w:ind w:firstLine="709"/>
        <w:jc w:val="both"/>
      </w:pPr>
      <w:r>
        <w:t xml:space="preserve">КБК 131 0</w:t>
      </w:r>
      <w:r>
        <w:t xml:space="preserve">801 11.3.01.00590 610 – 156 547 </w:t>
      </w:r>
      <w:r>
        <w:t xml:space="preserve">3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2026 год;</w:t>
      </w:r>
    </w:p>
    <w:p>
      <w:pPr>
        <w:ind w:firstLine="709"/>
        <w:jc w:val="both"/>
      </w:pPr>
      <w:r>
        <w:t xml:space="preserve">КБК 131 0</w:t>
      </w:r>
      <w:r>
        <w:t xml:space="preserve">801 11.3.01.00590 610 – 167 798 </w:t>
      </w:r>
      <w:r>
        <w:t xml:space="preserve">8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2027 год;</w:t>
      </w:r>
    </w:p>
    <w:p>
      <w:pPr>
        <w:ind w:firstLine="709"/>
        <w:jc w:val="both"/>
      </w:pPr>
      <w:r>
        <w:t xml:space="preserve">КБК 131 0</w:t>
      </w:r>
      <w:r>
        <w:t xml:space="preserve">801 11.3.01.00590 620 – 529 966 </w:t>
      </w:r>
      <w:r>
        <w:t xml:space="preserve">4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2025 год</w:t>
      </w:r>
      <w:r>
        <w:rPr>
          <w:szCs w:val="28"/>
        </w:rPr>
        <w:t xml:space="preserve">;</w:t>
      </w:r>
    </w:p>
    <w:p>
      <w:pPr>
        <w:ind w:firstLine="709"/>
        <w:jc w:val="both"/>
      </w:pPr>
      <w:r>
        <w:t xml:space="preserve">КБК 131 0</w:t>
      </w:r>
      <w:r>
        <w:t xml:space="preserve">801 11.3.01.00590 620 – 561 712 </w:t>
      </w:r>
      <w:r>
        <w:t xml:space="preserve">0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2026 год;</w:t>
      </w:r>
    </w:p>
    <w:p>
      <w:pPr>
        <w:ind w:firstLine="709"/>
        <w:jc w:val="both"/>
      </w:pPr>
      <w:r>
        <w:t xml:space="preserve">КБК 131 0</w:t>
      </w:r>
      <w:r>
        <w:t xml:space="preserve">801 11.3.01.00590 620 – 597 133 </w:t>
      </w:r>
      <w:r>
        <w:t xml:space="preserve">6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2027 год.</w:t>
      </w:r>
    </w:p>
    <w:p>
      <w:pPr>
        <w:ind w:firstLine="709"/>
        <w:jc w:val="both"/>
      </w:pPr>
      <w:r>
        <w:t xml:space="preserve">- оказание услуг государственными музеями и приобретение имущества, проведение капитального ремонта, связанных с обеспечением деятельности данных учреждений (131 000 00 6):</w:t>
      </w:r>
    </w:p>
    <w:p>
      <w:pPr>
        <w:ind w:firstLine="709"/>
        <w:jc w:val="both"/>
      </w:pPr>
      <w:r>
        <w:t xml:space="preserve">КБК 131 080</w:t>
      </w:r>
      <w:r>
        <w:t xml:space="preserve">1 11.3.01.00590 620 – 450 185 000,00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2025 год</w:t>
      </w:r>
      <w:r>
        <w:rPr>
          <w:szCs w:val="28"/>
        </w:rPr>
        <w:t xml:space="preserve">;</w:t>
      </w:r>
    </w:p>
    <w:p>
      <w:pPr>
        <w:ind w:firstLine="709"/>
        <w:jc w:val="both"/>
      </w:pPr>
      <w:r>
        <w:t xml:space="preserve">КБК 131 0</w:t>
      </w:r>
      <w:r>
        <w:t xml:space="preserve">801 11.3.01.00590 620 – 477 808 </w:t>
      </w:r>
      <w:r>
        <w:t xml:space="preserve">3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2026 год;</w:t>
      </w:r>
    </w:p>
    <w:p>
      <w:pPr>
        <w:ind w:firstLine="709"/>
        <w:jc w:val="both"/>
      </w:pPr>
      <w:r>
        <w:t xml:space="preserve">КБК 131 0801 11.3.01.00590 620 – 508</w:t>
      </w:r>
      <w:r>
        <w:t xml:space="preserve"> </w:t>
      </w:r>
      <w:r>
        <w:t xml:space="preserve">687</w:t>
      </w:r>
      <w:r>
        <w:t xml:space="preserve"> </w:t>
      </w:r>
      <w:r>
        <w:t xml:space="preserve">5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2027 год.</w:t>
      </w:r>
    </w:p>
    <w:p>
      <w:pPr>
        <w:ind w:firstLine="709"/>
        <w:jc w:val="both"/>
      </w:pPr>
      <w:r>
        <w:t xml:space="preserve">- оказание услуг государственными библиотеками и приобретение имущества, проведение капитального ремонта, связанных с обеспечением деятельности данных учреждений (131 000 00 7):</w:t>
      </w:r>
    </w:p>
    <w:p>
      <w:pPr>
        <w:ind w:firstLine="709"/>
        <w:jc w:val="both"/>
      </w:pPr>
      <w:r>
        <w:t xml:space="preserve">КБК 131 080</w:t>
      </w:r>
      <w:r>
        <w:t xml:space="preserve">1 11.3.01.00590 610 – 249 355 900,00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2025 год</w:t>
      </w:r>
      <w:r>
        <w:rPr>
          <w:szCs w:val="28"/>
        </w:rPr>
        <w:t xml:space="preserve">;</w:t>
      </w:r>
    </w:p>
    <w:p>
      <w:pPr>
        <w:ind w:firstLine="709"/>
        <w:jc w:val="both"/>
      </w:pPr>
      <w:r>
        <w:t xml:space="preserve">КБК 131 0801 11.3.01.00590 610</w:t>
      </w:r>
      <w:r>
        <w:t xml:space="preserve"> – 265 642 600,00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2026 год;</w:t>
      </w:r>
    </w:p>
    <w:p>
      <w:pPr>
        <w:ind w:firstLine="709"/>
        <w:jc w:val="both"/>
      </w:pPr>
      <w:r>
        <w:t xml:space="preserve">КБК 131 0801 11</w:t>
      </w:r>
      <w:r>
        <w:t xml:space="preserve">.3.01.00590 610 – 283 829 600,00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2027 год;</w:t>
      </w:r>
    </w:p>
    <w:p>
      <w:pPr>
        <w:ind w:firstLine="709"/>
        <w:jc w:val="both"/>
      </w:pPr>
      <w:r>
        <w:t xml:space="preserve">КБК 131 0801 11</w:t>
      </w:r>
      <w:r>
        <w:t xml:space="preserve">.3.01.00590 620 – 242 743 600,00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2025 год</w:t>
      </w:r>
      <w:r>
        <w:rPr>
          <w:szCs w:val="28"/>
        </w:rPr>
        <w:t xml:space="preserve">;</w:t>
      </w:r>
    </w:p>
    <w:p>
      <w:pPr>
        <w:ind w:firstLine="709"/>
        <w:jc w:val="both"/>
      </w:pPr>
      <w:r>
        <w:t xml:space="preserve">КБК 131 0801 11.3.01.00590 620 – 257</w:t>
      </w:r>
      <w:r>
        <w:t xml:space="preserve"> </w:t>
      </w:r>
      <w:r>
        <w:t xml:space="preserve">336</w:t>
      </w:r>
      <w:r>
        <w:t xml:space="preserve"> </w:t>
      </w:r>
      <w:r>
        <w:t xml:space="preserve">2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2026 год;</w:t>
      </w:r>
    </w:p>
    <w:p>
      <w:pPr>
        <w:ind w:firstLine="709"/>
        <w:jc w:val="both"/>
      </w:pPr>
      <w:r>
        <w:t xml:space="preserve">КБК 131 0801 11.3.01.00590 620 – 273</w:t>
      </w:r>
      <w:r>
        <w:t xml:space="preserve"> </w:t>
      </w:r>
      <w:r>
        <w:t xml:space="preserve">646</w:t>
      </w:r>
      <w:r>
        <w:t xml:space="preserve"> </w:t>
      </w:r>
      <w:r>
        <w:t xml:space="preserve">8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2027 год.</w:t>
      </w:r>
    </w:p>
    <w:p>
      <w:pPr>
        <w:ind w:firstLine="709"/>
        <w:jc w:val="both"/>
      </w:pPr>
      <w:r>
        <w:t xml:space="preserve">- оказание услуг театрами, цирками, концертными и другими организациями исполнительских искусств и приобретение имущества, проведение капитального ремонта, связанных с обеспечением деятельности данных учреждений </w:t>
      </w:r>
      <w:r>
        <w:t xml:space="preserve">(131 000 </w:t>
      </w:r>
      <w:r>
        <w:t xml:space="preserve">00</w:t>
      </w:r>
      <w:r>
        <w:t xml:space="preserve">8</w:t>
      </w:r>
      <w:r>
        <w:t xml:space="preserve">):</w:t>
      </w:r>
    </w:p>
    <w:p>
      <w:pPr>
        <w:ind w:firstLine="709"/>
        <w:jc w:val="both"/>
      </w:pPr>
      <w:r>
        <w:t xml:space="preserve">КБК 131 0801 11.3.01.00590 610 – 49</w:t>
      </w:r>
      <w:r>
        <w:t xml:space="preserve"> </w:t>
      </w:r>
      <w:r>
        <w:t xml:space="preserve">553</w:t>
      </w:r>
      <w:r>
        <w:t xml:space="preserve"> </w:t>
      </w:r>
      <w:r>
        <w:t xml:space="preserve">6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2025 год</w:t>
      </w:r>
      <w:r>
        <w:rPr>
          <w:szCs w:val="28"/>
        </w:rPr>
        <w:t xml:space="preserve">;</w:t>
      </w:r>
    </w:p>
    <w:p>
      <w:pPr>
        <w:ind w:firstLine="709"/>
        <w:jc w:val="both"/>
      </w:pPr>
      <w:r>
        <w:t xml:space="preserve">КБК 131 </w:t>
      </w:r>
      <w:r>
        <w:t xml:space="preserve">0801 11.3.01.00590 610 – 52 863 </w:t>
      </w:r>
      <w:r>
        <w:t xml:space="preserve">8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2026 год;</w:t>
      </w:r>
    </w:p>
    <w:p>
      <w:pPr>
        <w:ind w:firstLine="709"/>
        <w:jc w:val="both"/>
      </w:pPr>
      <w:r>
        <w:t xml:space="preserve">КБК 131 </w:t>
      </w:r>
      <w:r>
        <w:t xml:space="preserve">0801 11.3.01.00590 610 – 56 562 </w:t>
      </w:r>
      <w:r>
        <w:t xml:space="preserve">0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2027 год;</w:t>
      </w:r>
    </w:p>
    <w:p>
      <w:pPr>
        <w:ind w:firstLine="709"/>
        <w:jc w:val="both"/>
      </w:pPr>
      <w:r>
        <w:t xml:space="preserve">КБК 131 080</w:t>
      </w:r>
      <w:r>
        <w:t xml:space="preserve">1 11.3.01.00590 620 – 3 031 011 </w:t>
      </w:r>
      <w:r>
        <w:t xml:space="preserve">1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2025 год</w:t>
      </w:r>
      <w:r>
        <w:rPr>
          <w:szCs w:val="28"/>
        </w:rPr>
        <w:t xml:space="preserve">;</w:t>
      </w:r>
    </w:p>
    <w:p>
      <w:pPr>
        <w:ind w:firstLine="709"/>
        <w:jc w:val="both"/>
      </w:pPr>
      <w:r>
        <w:t xml:space="preserve">КБК 131 0801 11.3.01.00590 620 – 3 240</w:t>
      </w:r>
      <w:r>
        <w:t xml:space="preserve"> </w:t>
      </w:r>
      <w:r>
        <w:t xml:space="preserve">736</w:t>
      </w:r>
      <w:r>
        <w:t xml:space="preserve"> </w:t>
      </w:r>
      <w:r>
        <w:t xml:space="preserve">6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2026 год;</w:t>
      </w:r>
    </w:p>
    <w:p>
      <w:pPr>
        <w:ind w:firstLine="709"/>
        <w:jc w:val="both"/>
      </w:pPr>
      <w:r>
        <w:t xml:space="preserve">КБК 131 080</w:t>
      </w:r>
      <w:r>
        <w:t xml:space="preserve">1 11.3.01.00590 620 – 3 475 093 </w:t>
      </w:r>
      <w:r>
        <w:t xml:space="preserve">4</w:t>
      </w:r>
      <w:r>
        <w:t xml:space="preserve">00,00</w:t>
      </w:r>
      <w:r>
        <w:t xml:space="preserve"> </w:t>
      </w:r>
      <w:r>
        <w:t xml:space="preserve">руб</w:t>
      </w:r>
      <w:r>
        <w:t xml:space="preserve">лей</w:t>
      </w:r>
      <w:r>
        <w:t xml:space="preserve"> </w:t>
      </w:r>
      <w:r>
        <w:t xml:space="preserve">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</w:t>
      </w:r>
      <w:r>
        <w:rPr>
          <w:iCs/>
          <w:szCs w:val="28"/>
        </w:rPr>
        <w:t xml:space="preserve">министерства культуры Новосибирской области</w:t>
      </w:r>
      <w:r>
        <w:t xml:space="preserve">. </w:t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  <w:highlight w:val="none"/>
        </w:rPr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</w:rPr>
        <w:t xml:space="preserve">4.</w:t>
      </w:r>
      <w:r>
        <w:rPr>
          <w:b/>
        </w:rPr>
        <w:t xml:space="preserve"> Министерство науки и инновационной политики Новосибирской области.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полномочия Новосибирской области: «Содействие эффективного использования и развития научно-технического и </w:t>
      </w:r>
      <w:r>
        <w:t xml:space="preserve">инновационного потенциала Новосибирской области» в соответствии с расходным обязательством: «Организация и осуществление региональных научно-технических и инновационных программ и проектов, в том числе научными организациями субъекта Российской Федерации».</w:t>
      </w:r>
    </w:p>
    <w:p>
      <w:pPr>
        <w:ind w:firstLine="709"/>
        <w:jc w:val="both"/>
      </w:pPr>
      <w:r>
        <w:t xml:space="preserve">Законом Новосибирской области</w:t>
      </w:r>
      <w:r>
        <w:t xml:space="preserve"> № 546-ОЗ </w:t>
      </w:r>
      <w:r>
        <w:t xml:space="preserve">министерству науки и инновационной политики</w:t>
      </w:r>
      <w:r>
        <w:t xml:space="preserve"> Новосибирской области предусмотрены бюджетные ассигнования на финансовое обеспечение деятельности (оказание услуг) государственных учреждений в рамках государственной программы Новосибирской области «Научно-технологическое развитие Новосибирской области»:</w:t>
      </w:r>
    </w:p>
    <w:p>
      <w:pPr>
        <w:ind w:firstLine="709"/>
        <w:jc w:val="both"/>
      </w:pPr>
      <w:r>
        <w:t xml:space="preserve">КБК 021 0412 2430200590 621 – 129 570 100,00 рублей на 2025 год;</w:t>
      </w:r>
    </w:p>
    <w:p>
      <w:pPr>
        <w:ind w:firstLine="709"/>
        <w:jc w:val="both"/>
      </w:pPr>
      <w:r>
        <w:t xml:space="preserve">КБК 021 0412 2430200590 621 – 139 744 100,00 рублей на 2026 год;</w:t>
      </w:r>
    </w:p>
    <w:p>
      <w:pPr>
        <w:ind w:firstLine="709"/>
        <w:jc w:val="both"/>
      </w:pPr>
      <w:r>
        <w:t xml:space="preserve">КБК 021 0412 2430200590 621 – 146 002 300,00 рублей 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министерства науки и инновационной политики Новосибирской области. </w:t>
      </w:r>
    </w:p>
    <w:p>
      <w:pPr>
        <w:ind w:firstLine="709"/>
        <w:jc w:val="both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</w:rPr>
        <w:t xml:space="preserve">5. Министерство образования Новосибирской области.</w:t>
      </w:r>
      <w:r>
        <w:rPr>
          <w:b/>
        </w:rPr>
      </w:r>
      <w:r>
        <w:rPr>
          <w:b/>
          <w:bCs/>
          <w:highlight w:val="none"/>
        </w:rPr>
      </w:r>
    </w:p>
    <w:p>
      <w:pPr>
        <w:ind w:firstLine="709"/>
        <w:jc w:val="both"/>
      </w:pPr>
      <w:r>
        <w:t xml:space="preserve">Реализация проекта </w:t>
      </w:r>
      <w:r>
        <w:rPr>
          <w:szCs w:val="28"/>
        </w:rPr>
        <w:t xml:space="preserve">закона </w:t>
      </w:r>
      <w:r>
        <w:t xml:space="preserve">будет осуществляться в рамках полномочий Новосибирской области: «Н</w:t>
      </w:r>
      <w:r>
        <w:t xml:space="preserve">а осуществление полномочий в сфере образования</w:t>
      </w:r>
      <w:r>
        <w:t xml:space="preserve">»,</w:t>
      </w:r>
      <w:r>
        <w:t xml:space="preserve"> </w:t>
      </w:r>
      <w:r>
        <w:t xml:space="preserve">«</w:t>
      </w:r>
      <w:r>
        <w:t xml:space="preserve">Организация предоставления общего образования в государственных образовательных организациях субъектов Российской Федерации, создание условий для осуществления присмотра и уход</w:t>
      </w:r>
      <w:r>
        <w:t xml:space="preserve">а за детьми, содержания детей в </w:t>
      </w:r>
      <w:r>
        <w:t xml:space="preserve">государственных образовательных организациях субъектов Российской Федерации</w:t>
      </w:r>
      <w:r>
        <w:t xml:space="preserve">», «</w:t>
      </w:r>
      <w:r>
        <w:t xml:space="preserve">Организация предоставления допо</w:t>
      </w:r>
      <w:r>
        <w:t xml:space="preserve">лнительного образования детей в </w:t>
      </w:r>
      <w:r>
        <w:t xml:space="preserve">государственных образовательных организациях субъектов Российской Федерации</w:t>
      </w:r>
      <w:r>
        <w:t xml:space="preserve">», «</w:t>
      </w:r>
      <w:r>
        <w:t xml:space="preserve">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</w:t>
      </w:r>
      <w:r>
        <w:t xml:space="preserve">», «</w:t>
      </w:r>
      <w:r>
        <w:t xml:space="preserve">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</w:t>
      </w:r>
      <w:r>
        <w:t xml:space="preserve">», «</w:t>
      </w:r>
      <w:r>
        <w:t xml:space="preserve">Осуществление региональных и межмуниципальных программ и мероприятий по работе с детьми и молодежью</w:t>
      </w:r>
      <w:r>
        <w:t xml:space="preserve">».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Законом Новосибирской </w:t>
      </w:r>
      <w:r>
        <w:rPr>
          <w:szCs w:val="28"/>
        </w:rPr>
        <w:t xml:space="preserve">области </w:t>
      </w:r>
      <w:r>
        <w:rPr>
          <w:szCs w:val="28"/>
        </w:rPr>
        <w:t xml:space="preserve">№ 546-ОЗ </w:t>
      </w:r>
      <w:r>
        <w:rPr>
          <w:iCs/>
          <w:szCs w:val="28"/>
        </w:rPr>
        <w:t xml:space="preserve">министерству образования Новосибирской области</w:t>
      </w:r>
      <w:r>
        <w:rPr>
          <w:i/>
          <w:iCs/>
          <w:szCs w:val="28"/>
        </w:rPr>
        <w:t xml:space="preserve"> </w:t>
      </w:r>
      <w:r>
        <w:rPr>
          <w:szCs w:val="28"/>
        </w:rPr>
        <w:t xml:space="preserve">предусмотрены бюджетные ассигнования по расходным обязательствам: 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«Обеспечение государственных гарантий реализации прав на получение общедоступного и бесплатног</w:t>
      </w:r>
      <w:r>
        <w:rPr>
          <w:szCs w:val="28"/>
        </w:rPr>
        <w:t xml:space="preserve">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</w:t>
      </w:r>
      <w:r>
        <w:rPr>
          <w:szCs w:val="28"/>
        </w:rPr>
        <w:t xml:space="preserve">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</w:t>
      </w:r>
      <w:r>
        <w:rPr>
          <w:szCs w:val="28"/>
        </w:rPr>
        <w:t xml:space="preserve">расходов на содержание зданий и </w:t>
      </w:r>
      <w:r>
        <w:rPr>
          <w:szCs w:val="28"/>
        </w:rPr>
        <w:t xml:space="preserve">оплату коммунальных услуг), в соответствии с нормативами, определяемыми органами государственной власти субъектов Российской Федерации (в части начального общего, основного общего</w:t>
      </w:r>
      <w:r>
        <w:rPr>
          <w:szCs w:val="28"/>
        </w:rPr>
        <w:t xml:space="preserve">, среднего общего образования в </w:t>
      </w:r>
      <w:r>
        <w:rPr>
          <w:szCs w:val="28"/>
        </w:rPr>
        <w:t xml:space="preserve">муниципальных общеобразовательных организациях в сельской местности)»: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</w:pPr>
      <w:r>
        <w:t xml:space="preserve">КБК 136 0701 0730170110 530 – </w:t>
      </w:r>
      <w:r>
        <w:t xml:space="preserve">20 333</w:t>
      </w:r>
      <w:r>
        <w:t xml:space="preserve"> </w:t>
      </w:r>
      <w:r>
        <w:t xml:space="preserve">772</w:t>
      </w:r>
      <w:r>
        <w:t xml:space="preserve"> </w:t>
      </w:r>
      <w:r>
        <w:t xml:space="preserve">4</w:t>
      </w:r>
      <w:r>
        <w:t xml:space="preserve">00,00</w:t>
      </w:r>
      <w:r>
        <w:t xml:space="preserve"> рублей на 2025</w:t>
      </w:r>
      <w:r>
        <w:t xml:space="preserve"> год</w:t>
      </w:r>
      <w:r>
        <w:t xml:space="preserve">, 21 899 978 </w:t>
      </w:r>
      <w:r>
        <w:t xml:space="preserve">4</w:t>
      </w:r>
      <w:r>
        <w:t xml:space="preserve">00,00</w:t>
      </w:r>
      <w:r>
        <w:t xml:space="preserve"> рублей на 2026 год,</w:t>
      </w:r>
      <w:r>
        <w:t xml:space="preserve"> </w:t>
      </w:r>
      <w:r>
        <w:t xml:space="preserve">23 587 210 200,00 </w:t>
      </w:r>
      <w:r>
        <w:t xml:space="preserve">рублей на 2027 год</w:t>
      </w:r>
      <w:r>
        <w:rPr>
          <w:szCs w:val="28"/>
        </w:rPr>
        <w:t xml:space="preserve">;</w:t>
      </w:r>
    </w:p>
    <w:p>
      <w:pPr>
        <w:ind w:firstLine="709"/>
        <w:jc w:val="both"/>
      </w:pPr>
      <w:r>
        <w:t xml:space="preserve">КБК 136 0702 0730170120 530 – 34 725</w:t>
      </w:r>
      <w:r>
        <w:t xml:space="preserve"> </w:t>
      </w:r>
      <w:r>
        <w:t xml:space="preserve">855</w:t>
      </w:r>
      <w:r>
        <w:t xml:space="preserve"> </w:t>
      </w:r>
      <w:r>
        <w:t xml:space="preserve">8</w:t>
      </w:r>
      <w:r>
        <w:t xml:space="preserve">00,00 </w:t>
      </w:r>
      <w:r>
        <w:t xml:space="preserve">рублей на 2025 год, </w:t>
      </w:r>
      <w:r>
        <w:t xml:space="preserve">37 671 508 </w:t>
      </w:r>
      <w:r>
        <w:t xml:space="preserve">2</w:t>
      </w:r>
      <w:r>
        <w:t xml:space="preserve">00,00 </w:t>
      </w:r>
      <w:r>
        <w:t xml:space="preserve">рублей на 2026 год, </w:t>
      </w:r>
      <w:r>
        <w:t xml:space="preserve">40 413 585 </w:t>
      </w:r>
      <w:r>
        <w:t xml:space="preserve">5</w:t>
      </w:r>
      <w:r>
        <w:t xml:space="preserve">00,00 </w:t>
      </w:r>
      <w:r>
        <w:t xml:space="preserve">рублей на 2027 год;</w:t>
      </w:r>
    </w:p>
    <w:p>
      <w:pPr>
        <w:ind w:firstLine="709"/>
        <w:jc w:val="both"/>
      </w:pPr>
      <w:r>
        <w:t xml:space="preserve">КБК 136 </w:t>
      </w:r>
      <w:r>
        <w:t xml:space="preserve">0702 0730170140 530 – 2 631 329 </w:t>
      </w:r>
      <w:r>
        <w:t xml:space="preserve">0</w:t>
      </w:r>
      <w:r>
        <w:t xml:space="preserve">00,00 </w:t>
      </w:r>
      <w:r>
        <w:t xml:space="preserve">рублей на 2025 год, </w:t>
      </w:r>
      <w:r>
        <w:t xml:space="preserve">2 738</w:t>
      </w:r>
      <w:r>
        <w:t xml:space="preserve"> 527 </w:t>
      </w:r>
      <w:r>
        <w:t xml:space="preserve">5</w:t>
      </w:r>
      <w:r>
        <w:t xml:space="preserve">00,00</w:t>
      </w:r>
      <w:r>
        <w:t xml:space="preserve"> рублей на 2026 год, </w:t>
      </w:r>
      <w:r>
        <w:t xml:space="preserve">2 921</w:t>
      </w:r>
      <w:r>
        <w:t xml:space="preserve"> </w:t>
      </w:r>
      <w:r>
        <w:t xml:space="preserve">824</w:t>
      </w:r>
      <w:r>
        <w:t xml:space="preserve"> 000,00</w:t>
      </w:r>
      <w:r>
        <w:t xml:space="preserve"> рублей на 2027 год;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«</w:t>
      </w:r>
      <w:r>
        <w:rPr>
          <w:szCs w:val="28"/>
        </w:rPr>
        <w:t xml:space="preserve">Оказание услуг школами-детскими садами, школами начальными, неполными средними и средними и приобретение имущества, проведение капитального ремонта связанных с обеспечением деятельности данных учреждений</w:t>
      </w:r>
      <w:r>
        <w:rPr>
          <w:i/>
          <w:szCs w:val="28"/>
        </w:rPr>
        <w:t xml:space="preserve">»</w:t>
      </w:r>
      <w:r>
        <w:rPr>
          <w:szCs w:val="28"/>
        </w:rPr>
        <w:t xml:space="preserve">:</w:t>
      </w:r>
      <w:r>
        <w:rPr>
          <w:szCs w:val="28"/>
        </w:rPr>
      </w:r>
      <w:r>
        <w:rPr>
          <w:szCs w:val="28"/>
        </w:rPr>
      </w:r>
    </w:p>
    <w:p>
      <w:pPr>
        <w:ind w:firstLine="709"/>
        <w:jc w:val="both"/>
      </w:pPr>
      <w:r>
        <w:t xml:space="preserve">КБК 136 0702 0730100590 611 – </w:t>
      </w:r>
      <w:r>
        <w:t xml:space="preserve">811 388 </w:t>
      </w:r>
      <w:r>
        <w:t xml:space="preserve">1</w:t>
      </w:r>
      <w:r>
        <w:t xml:space="preserve">00,0</w:t>
      </w:r>
      <w:r>
        <w:t xml:space="preserve"> рублей на 2025 год, </w:t>
      </w:r>
      <w:r>
        <w:t xml:space="preserve">878 174 </w:t>
      </w:r>
      <w:r>
        <w:t xml:space="preserve">2</w:t>
      </w:r>
      <w:r>
        <w:t xml:space="preserve">00,00</w:t>
      </w:r>
      <w:r>
        <w:t xml:space="preserve"> рублей на 2026 год,</w:t>
      </w:r>
      <w:r>
        <w:t xml:space="preserve"> </w:t>
      </w:r>
      <w:r>
        <w:t xml:space="preserve">934 756 </w:t>
      </w:r>
      <w:r>
        <w:t xml:space="preserve">8</w:t>
      </w:r>
      <w:r>
        <w:t xml:space="preserve">00,00</w:t>
      </w:r>
      <w:r>
        <w:t xml:space="preserve"> рублей на 2027 год;</w:t>
      </w:r>
    </w:p>
    <w:p>
      <w:pPr>
        <w:ind w:firstLine="709"/>
        <w:jc w:val="both"/>
      </w:pPr>
      <w:r>
        <w:t xml:space="preserve">КБК 13</w:t>
      </w:r>
      <w:r>
        <w:t xml:space="preserve">6 0702 0730100590 621 – 103 531 </w:t>
      </w:r>
      <w:r>
        <w:t xml:space="preserve">8</w:t>
      </w:r>
      <w:r>
        <w:t xml:space="preserve">00,00 рублей на 2025 год, 112 650 </w:t>
      </w:r>
      <w:r>
        <w:t xml:space="preserve">3</w:t>
      </w:r>
      <w:r>
        <w:t xml:space="preserve">00,00</w:t>
      </w:r>
      <w:r>
        <w:t xml:space="preserve"> рублей на 2026 год,</w:t>
      </w:r>
      <w:r>
        <w:t xml:space="preserve"> </w:t>
      </w:r>
      <w:r>
        <w:t xml:space="preserve">119 956 </w:t>
      </w:r>
      <w:r>
        <w:t xml:space="preserve">5</w:t>
      </w:r>
      <w:r>
        <w:t xml:space="preserve">00,00</w:t>
      </w:r>
      <w:r>
        <w:t xml:space="preserve"> рублей на 2027 год;</w:t>
      </w:r>
    </w:p>
    <w:p>
      <w:pPr>
        <w:ind w:firstLine="709"/>
        <w:jc w:val="both"/>
      </w:pPr>
      <w:r>
        <w:t xml:space="preserve">«</w:t>
      </w:r>
      <w:r>
        <w:t xml:space="preserve">Оказание услуг по реализации дополнительных общеобразовательных программ и обеспечение деятельности учреждений дополнительного образования</w:t>
      </w:r>
      <w:r>
        <w:t xml:space="preserve">»:</w:t>
      </w:r>
    </w:p>
    <w:p>
      <w:pPr>
        <w:ind w:firstLine="709"/>
        <w:jc w:val="both"/>
      </w:pPr>
      <w:r>
        <w:t xml:space="preserve">КБК 1</w:t>
      </w:r>
      <w:r>
        <w:t xml:space="preserve">36 0703 0730100590 611 – 74 489 </w:t>
      </w:r>
      <w:r>
        <w:t xml:space="preserve">4</w:t>
      </w:r>
      <w:r>
        <w:t xml:space="preserve">00,00</w:t>
      </w:r>
      <w:r>
        <w:t xml:space="preserve"> рублей на 2025 год, 80</w:t>
      </w:r>
      <w:r>
        <w:t xml:space="preserve"> </w:t>
      </w:r>
      <w:r>
        <w:t xml:space="preserve">949</w:t>
      </w:r>
      <w:r>
        <w:t xml:space="preserve"> </w:t>
      </w:r>
      <w:r>
        <w:t xml:space="preserve">1</w:t>
      </w:r>
      <w:r>
        <w:t xml:space="preserve">00,00</w:t>
      </w:r>
      <w:r>
        <w:t xml:space="preserve"> рублей на 2026 год,</w:t>
      </w:r>
      <w:r>
        <w:t xml:space="preserve"> </w:t>
      </w:r>
      <w:r>
        <w:t xml:space="preserve">86 089 200,00</w:t>
      </w:r>
      <w:r>
        <w:t xml:space="preserve"> рублей на 2027 год;</w:t>
      </w:r>
    </w:p>
    <w:p>
      <w:pPr>
        <w:ind w:firstLine="709"/>
        <w:jc w:val="both"/>
      </w:pPr>
      <w:r>
        <w:t xml:space="preserve">КБК 136 0703</w:t>
      </w:r>
      <w:r>
        <w:t xml:space="preserve"> 0730100590 621 – 518 044 </w:t>
      </w:r>
      <w:r>
        <w:t xml:space="preserve">0</w:t>
      </w:r>
      <w:r>
        <w:t xml:space="preserve">00,00</w:t>
      </w:r>
      <w:r>
        <w:t xml:space="preserve"> </w:t>
      </w:r>
      <w:r>
        <w:t xml:space="preserve">рублей на 2025 год, 550 340 </w:t>
      </w:r>
      <w:r>
        <w:t xml:space="preserve">7</w:t>
      </w:r>
      <w:r>
        <w:t xml:space="preserve">00,00</w:t>
      </w:r>
      <w:r>
        <w:t xml:space="preserve"> рублей на 2026 год,</w:t>
      </w:r>
      <w:r>
        <w:t xml:space="preserve"> </w:t>
      </w:r>
      <w:r>
        <w:t xml:space="preserve">578 209 </w:t>
      </w:r>
      <w:r>
        <w:t xml:space="preserve">7</w:t>
      </w:r>
      <w:r>
        <w:t xml:space="preserve">00,00</w:t>
      </w:r>
      <w:r>
        <w:t xml:space="preserve"> рублей на 2027 год;</w:t>
      </w:r>
    </w:p>
    <w:p>
      <w:pPr>
        <w:ind w:firstLine="709"/>
        <w:jc w:val="both"/>
      </w:pPr>
      <w:r>
        <w:t xml:space="preserve">«</w:t>
      </w:r>
      <w:r>
        <w:t xml:space="preserve">Оказание услуг и приобретение имущества средними профессиональными образовательными учреждениям, проведение ка</w:t>
      </w:r>
      <w:r>
        <w:t xml:space="preserve">питального ремонта связанного с </w:t>
      </w:r>
      <w:r>
        <w:t xml:space="preserve">обеспечением деятельности данных учреждений</w:t>
      </w:r>
      <w:r>
        <w:t xml:space="preserve">»:</w:t>
      </w:r>
    </w:p>
    <w:p>
      <w:pPr>
        <w:ind w:firstLine="709"/>
        <w:jc w:val="both"/>
      </w:pPr>
      <w:r>
        <w:t xml:space="preserve">КБК 136 </w:t>
      </w:r>
      <w:r>
        <w:t xml:space="preserve">0704 0630100590 611 – 4 362 109 </w:t>
      </w:r>
      <w:r>
        <w:t xml:space="preserve">7</w:t>
      </w:r>
      <w:r>
        <w:t xml:space="preserve">00,00 рублей на 2025 год, 4 653 629 </w:t>
      </w:r>
      <w:r>
        <w:t xml:space="preserve">2</w:t>
      </w:r>
      <w:r>
        <w:t xml:space="preserve">00,00</w:t>
      </w:r>
      <w:r>
        <w:t xml:space="preserve"> рублей на 2026 год,</w:t>
      </w:r>
      <w:r>
        <w:t xml:space="preserve"> </w:t>
      </w:r>
      <w:r>
        <w:t xml:space="preserve">4 894 907 </w:t>
      </w:r>
      <w:r>
        <w:t xml:space="preserve">0</w:t>
      </w:r>
      <w:r>
        <w:t xml:space="preserve">00,00</w:t>
      </w:r>
      <w:r>
        <w:t xml:space="preserve"> рублей на 2027 год;</w:t>
      </w:r>
    </w:p>
    <w:p>
      <w:pPr>
        <w:ind w:firstLine="709"/>
        <w:jc w:val="both"/>
      </w:pPr>
      <w:r>
        <w:t xml:space="preserve">КБК 136 </w:t>
      </w:r>
      <w:r>
        <w:t xml:space="preserve">0704 0630100590 621 – 1 818 535 </w:t>
      </w:r>
      <w:r>
        <w:t xml:space="preserve">1</w:t>
      </w:r>
      <w:r>
        <w:t xml:space="preserve">00,0 рублей на 2025 год, 1 942 030 </w:t>
      </w:r>
      <w:r>
        <w:t xml:space="preserve">2</w:t>
      </w:r>
      <w:r>
        <w:t xml:space="preserve">00,00</w:t>
      </w:r>
      <w:r>
        <w:t xml:space="preserve"> рублей на 2026 год,</w:t>
      </w:r>
      <w:r>
        <w:t xml:space="preserve"> </w:t>
      </w:r>
      <w:r>
        <w:t xml:space="preserve">2 044</w:t>
      </w:r>
      <w:r>
        <w:t xml:space="preserve"> </w:t>
      </w:r>
      <w:r>
        <w:t xml:space="preserve">241</w:t>
      </w:r>
      <w:r>
        <w:t xml:space="preserve"> </w:t>
      </w:r>
      <w:r>
        <w:t xml:space="preserve">0</w:t>
      </w:r>
      <w:r>
        <w:t xml:space="preserve">00,00</w:t>
      </w:r>
      <w:r>
        <w:t xml:space="preserve"> рублей на 2027 год;</w:t>
      </w:r>
    </w:p>
    <w:p>
      <w:pPr>
        <w:ind w:firstLine="709"/>
        <w:jc w:val="both"/>
      </w:pPr>
      <w:r>
        <w:t xml:space="preserve">«</w:t>
      </w:r>
      <w:r>
        <w:t xml:space="preserve">Оказание услуг по профессиональн</w:t>
      </w:r>
      <w:r>
        <w:t xml:space="preserve">ой подготовке, переподготовке и </w:t>
      </w:r>
      <w:r>
        <w:t xml:space="preserve">повышению квалификации образовательными учреждениями, приобретение </w:t>
      </w:r>
      <w:r>
        <w:t xml:space="preserve">имущества, проведение капитального ремонта связанных с обеспечением деятельности данных учреждений</w:t>
      </w:r>
      <w:r>
        <w:t xml:space="preserve">»:</w:t>
      </w:r>
    </w:p>
    <w:p>
      <w:pPr>
        <w:ind w:firstLine="709"/>
        <w:jc w:val="both"/>
      </w:pPr>
      <w:r>
        <w:t xml:space="preserve">КБК 13</w:t>
      </w:r>
      <w:r>
        <w:t xml:space="preserve">6 0705 0630100590 611 – 131 054 </w:t>
      </w:r>
      <w:r>
        <w:t xml:space="preserve">0</w:t>
      </w:r>
      <w:r>
        <w:t xml:space="preserve">00,00 рублей на 2025 год, 152 409 </w:t>
      </w:r>
      <w:r>
        <w:t xml:space="preserve">6</w:t>
      </w:r>
      <w:r>
        <w:t xml:space="preserve">00,00</w:t>
      </w:r>
      <w:r>
        <w:t xml:space="preserve"> рублей на 2026 год,</w:t>
      </w:r>
      <w:r>
        <w:t xml:space="preserve"> </w:t>
      </w:r>
      <w:r>
        <w:t xml:space="preserve">160 816 </w:t>
      </w:r>
      <w:r>
        <w:t xml:space="preserve">7</w:t>
      </w:r>
      <w:r>
        <w:t xml:space="preserve">00,00</w:t>
      </w:r>
      <w:r>
        <w:t xml:space="preserve"> рублей на 2027 год;</w:t>
      </w:r>
    </w:p>
    <w:p>
      <w:pPr>
        <w:ind w:firstLine="709"/>
        <w:jc w:val="both"/>
      </w:pPr>
      <w:r>
        <w:t xml:space="preserve">КБК 136 0705 0630100590 621 – 47</w:t>
      </w:r>
      <w:r>
        <w:t xml:space="preserve"> </w:t>
      </w:r>
      <w:r>
        <w:t xml:space="preserve">373</w:t>
      </w:r>
      <w:r>
        <w:t xml:space="preserve"> 000,0</w:t>
      </w:r>
      <w:r>
        <w:t xml:space="preserve">0 рубле</w:t>
      </w:r>
      <w:r>
        <w:t xml:space="preserve">й на 2025 год, 51 652 </w:t>
      </w:r>
      <w:r>
        <w:t xml:space="preserve">8</w:t>
      </w:r>
      <w:r>
        <w:t xml:space="preserve">00,00 рублей на 2026 год, 54 233 </w:t>
      </w:r>
      <w:r>
        <w:t xml:space="preserve">4</w:t>
      </w:r>
      <w:r>
        <w:t xml:space="preserve">00,00</w:t>
      </w:r>
      <w:r>
        <w:t xml:space="preserve"> рублей на 2027 год;</w:t>
      </w:r>
    </w:p>
    <w:p>
      <w:pPr>
        <w:ind w:firstLine="709"/>
        <w:jc w:val="both"/>
      </w:pPr>
      <w:r>
        <w:t xml:space="preserve">КБК 13</w:t>
      </w:r>
      <w:r>
        <w:t xml:space="preserve">6 0705 0730200590 621 – 195 962 000,0</w:t>
      </w:r>
      <w:r>
        <w:t xml:space="preserve">0 </w:t>
      </w:r>
      <w:r>
        <w:t xml:space="preserve">рублей на 2025 год, 220 879 </w:t>
      </w:r>
      <w:r>
        <w:t xml:space="preserve">6</w:t>
      </w:r>
      <w:r>
        <w:t xml:space="preserve">00,00</w:t>
      </w:r>
      <w:r>
        <w:t xml:space="preserve"> рублей на 2026 год,</w:t>
      </w:r>
      <w:r>
        <w:t xml:space="preserve"> </w:t>
      </w:r>
      <w:r>
        <w:t xml:space="preserve">236 028 </w:t>
      </w:r>
      <w:r>
        <w:t xml:space="preserve">8</w:t>
      </w:r>
      <w:r>
        <w:t xml:space="preserve">00,00</w:t>
      </w:r>
      <w:r>
        <w:t xml:space="preserve"> рублей на 2027 год;</w:t>
      </w:r>
    </w:p>
    <w:p>
      <w:pPr>
        <w:ind w:firstLine="709"/>
        <w:jc w:val="both"/>
        <w:rPr>
          <w:i/>
          <w:u w:val="single"/>
        </w:rPr>
      </w:pPr>
      <w:r>
        <w:t xml:space="preserve">«</w:t>
      </w:r>
      <w:r>
        <w:t xml:space="preserve">Оказание услуг учреждениями, обеспеч</w:t>
      </w:r>
      <w:r>
        <w:t xml:space="preserve">ивающими предоставление услуг в </w:t>
      </w:r>
      <w:r>
        <w:t xml:space="preserve">сфере образования и приобретение имущества, проведение капитального ремонта связанных с обеспечением деятельности данных учреждений</w:t>
      </w:r>
      <w:r>
        <w:t xml:space="preserve">»:</w:t>
      </w:r>
      <w:r>
        <w:rPr>
          <w:i/>
          <w:u w:val="single"/>
        </w:rPr>
      </w:r>
      <w:r>
        <w:rPr>
          <w:i/>
          <w:u w:val="single"/>
        </w:rPr>
      </w:r>
    </w:p>
    <w:p>
      <w:pPr>
        <w:ind w:firstLine="709"/>
        <w:jc w:val="both"/>
      </w:pPr>
      <w:r>
        <w:t xml:space="preserve">КБК 13</w:t>
      </w:r>
      <w:r>
        <w:t xml:space="preserve">6 0709 0730100590 611 – 219 986 </w:t>
      </w:r>
      <w:r>
        <w:t xml:space="preserve">5</w:t>
      </w:r>
      <w:r>
        <w:t xml:space="preserve">00,00 рублей на 2025 год, 240 172 000,0</w:t>
      </w:r>
      <w:r>
        <w:t xml:space="preserve">0 рублей на 2026 год 256 512</w:t>
      </w:r>
      <w:r>
        <w:t xml:space="preserve"> 000,00</w:t>
      </w:r>
      <w:r>
        <w:t xml:space="preserve"> рублей на 2027 год;</w:t>
      </w:r>
    </w:p>
    <w:p>
      <w:pPr>
        <w:ind w:firstLine="709"/>
        <w:jc w:val="both"/>
      </w:pPr>
      <w:r>
        <w:t xml:space="preserve">КБК 136 0709 0730100590 110 – 339</w:t>
      </w:r>
      <w:r>
        <w:t xml:space="preserve"> </w:t>
      </w:r>
      <w:r>
        <w:t xml:space="preserve">603</w:t>
      </w:r>
      <w:r>
        <w:t xml:space="preserve"> </w:t>
      </w:r>
      <w:r>
        <w:t xml:space="preserve">1</w:t>
      </w:r>
      <w:r>
        <w:t xml:space="preserve">00,0</w:t>
      </w:r>
      <w:r>
        <w:t xml:space="preserve"> </w:t>
      </w:r>
      <w:r>
        <w:t xml:space="preserve">рублей на 2025 год, 354 696 </w:t>
      </w:r>
      <w:r>
        <w:t xml:space="preserve">3</w:t>
      </w:r>
      <w:r>
        <w:t xml:space="preserve">00,00 рублей на 2026 год 363 980 </w:t>
      </w:r>
      <w:r>
        <w:t xml:space="preserve">3</w:t>
      </w:r>
      <w:r>
        <w:t xml:space="preserve">00,00</w:t>
      </w:r>
      <w:r>
        <w:t xml:space="preserve"> рублей 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 областного бюджета Новосибирской области в части расходных обязательств </w:t>
      </w:r>
      <w:r>
        <w:rPr>
          <w:iCs/>
          <w:szCs w:val="28"/>
        </w:rPr>
        <w:t xml:space="preserve">министерства образования Новосибирской области</w:t>
      </w:r>
      <w:r>
        <w:t xml:space="preserve">. </w:t>
      </w:r>
    </w:p>
    <w:p>
      <w:pPr>
        <w:ind w:firstLine="709"/>
        <w:jc w:val="both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</w:rPr>
        <w:t xml:space="preserve">6.</w:t>
      </w:r>
      <w:r>
        <w:rPr>
          <w:b/>
        </w:rPr>
        <w:t xml:space="preserve"> Министерство природных ресурсов и экологии Новосибирской области.</w:t>
      </w:r>
      <w:r>
        <w:rPr>
          <w:b/>
        </w:rPr>
      </w:r>
      <w:r>
        <w:rPr>
          <w:b/>
          <w:bCs/>
          <w:highlight w:val="none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Реализация проекта закона </w:t>
      </w:r>
      <w:r>
        <w:rPr>
          <w:color w:val="000000"/>
          <w:szCs w:val="28"/>
        </w:rPr>
        <w:t xml:space="preserve">будет осуществляться в рамках полномочий Новосибирской области «Создание и обеспечение охр</w:t>
      </w:r>
      <w:r>
        <w:rPr>
          <w:color w:val="000000"/>
          <w:szCs w:val="28"/>
        </w:rPr>
        <w:t xml:space="preserve">аны особо охраняемых природных территорий регионального значения» и «Нормативно-правовое регулирование заготовки гражданами древесины для собственных нужд, заготовки и сбора недревесных лесных ресурсов для собственных нужд, заготовки пищевых лесных ресурсо</w:t>
      </w:r>
      <w:r>
        <w:rPr>
          <w:color w:val="000000"/>
          <w:szCs w:val="28"/>
        </w:rPr>
        <w:t xml:space="preserve">в</w:t>
      </w:r>
      <w:r>
        <w:rPr>
          <w:color w:val="000000"/>
          <w:szCs w:val="28"/>
        </w:rPr>
        <w:t xml:space="preserve"> и сбора ими лекарственных растений для собственных нужд, осуществление мероприятий по лесоустройству в отношении лесов и лесных участков, находящихся в собственности субъектов Российской Федерации, осуществление полномочий собственников лесных участков». 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Законом Новосибирской области </w:t>
      </w:r>
      <w:r>
        <w:rPr>
          <w:color w:val="000000"/>
          <w:szCs w:val="28"/>
        </w:rPr>
        <w:t xml:space="preserve">№ 546-ОЗ министерству природных ресурсов и экологии Новосибирской области предусмотрены бюджетные ассигнования на: 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создание условий функционирования и развитие сети особо охраняемых природных территорий, установление охранных зон, сохранение биоразнообразия: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КБК 130 0603 1230107180 611 – 67 993</w:t>
      </w:r>
      <w:r>
        <w:rPr>
          <w:color w:val="000000"/>
          <w:szCs w:val="28"/>
        </w:rPr>
        <w:t xml:space="preserve"> </w:t>
      </w:r>
      <w:r>
        <w:rPr>
          <w:color w:val="000000"/>
          <w:szCs w:val="28"/>
        </w:rPr>
        <w:t xml:space="preserve">700</w:t>
      </w:r>
      <w:r>
        <w:rPr>
          <w:color w:val="000000"/>
          <w:szCs w:val="28"/>
        </w:rPr>
        <w:t xml:space="preserve">,00</w:t>
      </w:r>
      <w:r>
        <w:rPr>
          <w:color w:val="000000"/>
          <w:szCs w:val="28"/>
        </w:rPr>
        <w:t xml:space="preserve"> рублей на 2025 год;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КБК 130 0603 1230107180 611 – 75 663</w:t>
      </w:r>
      <w:r>
        <w:rPr>
          <w:color w:val="000000"/>
          <w:szCs w:val="28"/>
        </w:rPr>
        <w:t xml:space="preserve"> </w:t>
      </w:r>
      <w:r>
        <w:rPr>
          <w:color w:val="000000"/>
          <w:szCs w:val="28"/>
        </w:rPr>
        <w:t xml:space="preserve">900</w:t>
      </w:r>
      <w:r>
        <w:rPr>
          <w:color w:val="000000"/>
          <w:szCs w:val="28"/>
        </w:rPr>
        <w:t xml:space="preserve">,00</w:t>
      </w:r>
      <w:r>
        <w:rPr>
          <w:color w:val="000000"/>
          <w:szCs w:val="28"/>
        </w:rPr>
        <w:t xml:space="preserve"> рублей на 2026 год;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КБК 130 0603 1230107180 611 – 61 541</w:t>
      </w:r>
      <w:r>
        <w:rPr>
          <w:color w:val="000000"/>
          <w:szCs w:val="28"/>
        </w:rPr>
        <w:t xml:space="preserve"> </w:t>
      </w:r>
      <w:r>
        <w:rPr>
          <w:color w:val="000000"/>
          <w:szCs w:val="28"/>
        </w:rPr>
        <w:t xml:space="preserve">100</w:t>
      </w:r>
      <w:r>
        <w:rPr>
          <w:color w:val="000000"/>
          <w:szCs w:val="28"/>
        </w:rPr>
        <w:t xml:space="preserve">,00</w:t>
      </w:r>
      <w:r>
        <w:rPr>
          <w:color w:val="000000"/>
          <w:szCs w:val="28"/>
        </w:rPr>
        <w:t xml:space="preserve"> рублей на 2027 год.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- защита лесов от пожаров и от вредных организмов: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КБК 130 0407 1330103810 621 – 51 948</w:t>
      </w:r>
      <w:r>
        <w:rPr>
          <w:color w:val="000000"/>
          <w:szCs w:val="28"/>
        </w:rPr>
        <w:t xml:space="preserve"> </w:t>
      </w:r>
      <w:r>
        <w:rPr>
          <w:color w:val="000000"/>
          <w:szCs w:val="28"/>
        </w:rPr>
        <w:t xml:space="preserve">600</w:t>
      </w:r>
      <w:r>
        <w:rPr>
          <w:color w:val="000000"/>
          <w:szCs w:val="28"/>
        </w:rPr>
        <w:t xml:space="preserve">,00</w:t>
      </w:r>
      <w:r>
        <w:rPr>
          <w:color w:val="000000"/>
          <w:szCs w:val="28"/>
        </w:rPr>
        <w:t xml:space="preserve"> рублей на 2025 год;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КБК 130 0407 1330103810 621 – 57 887</w:t>
      </w:r>
      <w:r>
        <w:rPr>
          <w:color w:val="000000"/>
          <w:szCs w:val="28"/>
        </w:rPr>
        <w:t xml:space="preserve"> </w:t>
      </w:r>
      <w:r>
        <w:rPr>
          <w:color w:val="000000"/>
          <w:szCs w:val="28"/>
        </w:rPr>
        <w:t xml:space="preserve">900</w:t>
      </w:r>
      <w:r>
        <w:rPr>
          <w:color w:val="000000"/>
          <w:szCs w:val="28"/>
        </w:rPr>
        <w:t xml:space="preserve">,00</w:t>
      </w:r>
      <w:r>
        <w:rPr>
          <w:color w:val="000000"/>
          <w:szCs w:val="28"/>
        </w:rPr>
        <w:t xml:space="preserve"> рублей на 2026 год;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КБК 130 0407 1330103810 621 – 61 541</w:t>
      </w:r>
      <w:r>
        <w:rPr>
          <w:color w:val="000000"/>
          <w:szCs w:val="28"/>
        </w:rPr>
        <w:t xml:space="preserve"> </w:t>
      </w:r>
      <w:r>
        <w:rPr>
          <w:color w:val="000000"/>
          <w:szCs w:val="28"/>
        </w:rPr>
        <w:t xml:space="preserve">100</w:t>
      </w:r>
      <w:r>
        <w:rPr>
          <w:color w:val="000000"/>
          <w:szCs w:val="28"/>
        </w:rPr>
        <w:t xml:space="preserve">,00</w:t>
      </w:r>
      <w:r>
        <w:rPr>
          <w:color w:val="000000"/>
          <w:szCs w:val="28"/>
        </w:rPr>
        <w:t xml:space="preserve"> рублей на 2027 год.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министерства природных ресурсов и экологии Новосибирской области. </w:t>
      </w:r>
      <w:r>
        <w:rPr>
          <w:color w:val="000000"/>
          <w:szCs w:val="28"/>
        </w:rPr>
      </w:r>
      <w:r>
        <w:rPr>
          <w:color w:val="000000"/>
          <w:szCs w:val="28"/>
        </w:rPr>
      </w:r>
    </w:p>
    <w:p>
      <w:pPr>
        <w:ind w:firstLine="709"/>
        <w:jc w:val="both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</w:rPr>
        <w:t xml:space="preserve">7.</w:t>
      </w:r>
      <w:r>
        <w:rPr>
          <w:b/>
        </w:rPr>
        <w:t xml:space="preserve"> Министерство региональной политики Новосибирской области.</w:t>
      </w:r>
      <w:r>
        <w:rPr>
          <w:b/>
        </w:rPr>
      </w:r>
      <w:r>
        <w:rPr>
          <w:b/>
          <w:bCs/>
          <w:highlight w:val="none"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полномочий Новосибирской области «Материально-техническое и финансовое обеспечение </w:t>
      </w:r>
      <w:r>
        <w:t xml:space="preserve">деятельности органов государственной власти субъекта Российской Федерации и государственных учреждений субъекта Российской Федерации, в том числе во</w:t>
      </w:r>
      <w:r>
        <w:t xml:space="preserve">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Федерации» и «Организация и обеспечение деятельности общественной палаты субъекта Российской Федерации».</w:t>
      </w:r>
    </w:p>
    <w:p>
      <w:pPr>
        <w:ind w:firstLine="709"/>
        <w:jc w:val="both"/>
      </w:pPr>
      <w:r>
        <w:t xml:space="preserve">З</w:t>
      </w:r>
      <w:r>
        <w:t xml:space="preserve">аконом Новосибирской области </w:t>
      </w:r>
      <w:r>
        <w:t xml:space="preserve">№ 546-ОЗ министерству региональной политики Новосибирской области предусмотрены бюджетные ассигнования на реализа</w:t>
      </w:r>
      <w:r>
        <w:t xml:space="preserve">цию государственной программы Новосибирской области «Развитие институтов региональной политики и гражданского общества в Новосибирской области», утвержденной постановлением Правительства Новосибирской области от 26.12.2018 № 570-п по направлениям расходов:</w:t>
      </w:r>
    </w:p>
    <w:p>
      <w:pPr>
        <w:ind w:firstLine="709"/>
        <w:jc w:val="both"/>
      </w:pPr>
      <w:r>
        <w:t xml:space="preserve">- финансовое обеспечение деятельности (оказание услуг) государственных учреждений (Расходы на выплаты персоналу казенных учреждений – фонд оплаты труда):</w:t>
      </w:r>
    </w:p>
    <w:p>
      <w:pPr>
        <w:ind w:firstLine="709"/>
        <w:jc w:val="both"/>
      </w:pPr>
      <w:r>
        <w:t xml:space="preserve">КБК 10501131630100590110 – 46 766 900,00 рублей на 2025 год;</w:t>
      </w:r>
    </w:p>
    <w:p>
      <w:pPr>
        <w:ind w:firstLine="709"/>
        <w:jc w:val="both"/>
      </w:pPr>
      <w:r>
        <w:t xml:space="preserve">КБК 10501131630100590110 – 53 339 200,00 рублей на 2026 год;</w:t>
      </w:r>
    </w:p>
    <w:p>
      <w:pPr>
        <w:ind w:firstLine="709"/>
        <w:jc w:val="both"/>
      </w:pPr>
      <w:r>
        <w:t xml:space="preserve">КБК 10501131630100590110 – 57 381 700,00 рублей на 2027 год; </w:t>
      </w:r>
    </w:p>
    <w:p>
      <w:pPr>
        <w:ind w:firstLine="709"/>
        <w:jc w:val="both"/>
      </w:pPr>
      <w:r>
        <w:t xml:space="preserve">- содержание аппарата Общественной палаты Новосибирской области (Расходы на выплаты персоналу казенных учреждений – фонд оплаты труда):</w:t>
      </w:r>
    </w:p>
    <w:p>
      <w:pPr>
        <w:ind w:firstLine="709"/>
        <w:jc w:val="both"/>
      </w:pPr>
      <w:r>
        <w:t xml:space="preserve">КБК 10501131630203860110 – 6 898 900,00 рублей на 2025 год;</w:t>
      </w:r>
    </w:p>
    <w:p>
      <w:pPr>
        <w:ind w:firstLine="709"/>
        <w:jc w:val="both"/>
      </w:pPr>
      <w:r>
        <w:t xml:space="preserve">КБК 10501131630203860110 – 7 868 400,00 рублей на 2026 год;</w:t>
      </w:r>
    </w:p>
    <w:p>
      <w:pPr>
        <w:ind w:firstLine="709"/>
        <w:jc w:val="both"/>
      </w:pPr>
      <w:r>
        <w:t xml:space="preserve">КБК 10501131630203860110 – 8 464 800,00 рублей 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министерства региональной политики Новосибирской области. </w:t>
      </w:r>
    </w:p>
    <w:p>
      <w:pPr>
        <w:ind w:firstLine="709"/>
        <w:jc w:val="both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</w:rPr>
        <w:t xml:space="preserve">8. Министерство строительства Новосибирской области.</w:t>
      </w:r>
      <w:r>
        <w:rPr>
          <w:b/>
        </w:rPr>
      </w:r>
      <w:r>
        <w:rPr>
          <w:b/>
          <w:bCs/>
          <w:highlight w:val="none"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полномочий Новосибирской области:</w:t>
      </w:r>
    </w:p>
    <w:p>
      <w:pPr>
        <w:ind w:firstLine="709"/>
        <w:jc w:val="both"/>
      </w:pPr>
      <w:r>
        <w:t xml:space="preserve">- </w:t>
      </w:r>
      <w:r>
        <w:t xml:space="preserve">обеспечение деятельности подведомственных учреждений в области строительства, архитектуры и градостроительства;</w:t>
      </w:r>
    </w:p>
    <w:p>
      <w:pPr>
        <w:ind w:firstLine="709"/>
        <w:jc w:val="both"/>
      </w:pPr>
      <w:r>
        <w:t xml:space="preserve">- </w:t>
      </w:r>
      <w:r>
        <w:t xml:space="preserve">обеспечение деятельности подведомственного учреждения ГБУ НСО </w:t>
      </w:r>
      <w:r>
        <w:t xml:space="preserve">«</w:t>
      </w:r>
      <w:r>
        <w:t xml:space="preserve">Геофонд</w:t>
      </w:r>
      <w:r>
        <w:t xml:space="preserve">»</w:t>
      </w:r>
      <w:r>
        <w:t xml:space="preserve">.</w:t>
      </w:r>
    </w:p>
    <w:p>
      <w:pPr>
        <w:ind w:firstLine="709"/>
        <w:jc w:val="both"/>
      </w:pPr>
      <w:r>
        <w:t xml:space="preserve">Законом Новосибирской области </w:t>
      </w:r>
      <w:r>
        <w:t xml:space="preserve">№ 546-ОЗ министерству строительства Новосибирской области предусмотрены бюджетные ассигнования на: </w:t>
      </w:r>
    </w:p>
    <w:p>
      <w:pPr>
        <w:ind w:firstLine="709"/>
        <w:jc w:val="both"/>
      </w:pPr>
      <w:r>
        <w:t xml:space="preserve">124 190 00 1 «Обеспечение деятельности подведомственных учреждений в области строительства, архитектуры и градостроительства»:</w:t>
      </w:r>
    </w:p>
    <w:p>
      <w:pPr>
        <w:ind w:firstLine="709"/>
        <w:jc w:val="both"/>
      </w:pPr>
      <w:r>
        <w:t xml:space="preserve">КБК 124 0412 9900000590 – 689 736 600,</w:t>
      </w:r>
      <w:r>
        <w:t xml:space="preserve">0</w:t>
      </w:r>
      <w:r>
        <w:t xml:space="preserve">0 (с учетом внесенных изменений в роспись 731 763 618,38) рублей на 2025 год;</w:t>
      </w:r>
    </w:p>
    <w:p>
      <w:pPr>
        <w:ind w:firstLine="709"/>
        <w:jc w:val="both"/>
      </w:pPr>
      <w:r>
        <w:t xml:space="preserve">КБК 124 0412 9900000590 – 613 317 700,</w:t>
      </w:r>
      <w:r>
        <w:t xml:space="preserve">0</w:t>
      </w:r>
      <w:r>
        <w:t xml:space="preserve">0 рублей на 2026 год;</w:t>
      </w:r>
    </w:p>
    <w:p>
      <w:pPr>
        <w:ind w:firstLine="709"/>
        <w:jc w:val="both"/>
      </w:pPr>
      <w:r>
        <w:t xml:space="preserve">КБК 124 0412 9900000590 – 649 484 300,</w:t>
      </w:r>
      <w:r>
        <w:t xml:space="preserve">0</w:t>
      </w:r>
      <w:r>
        <w:t xml:space="preserve">0 рублей на 2027 год.</w:t>
      </w:r>
    </w:p>
    <w:p>
      <w:pPr>
        <w:ind w:firstLine="709"/>
        <w:jc w:val="both"/>
      </w:pPr>
      <w:r>
        <w:t xml:space="preserve">124 200 00 1 «Обеспечение деятельности подведомственного учреждения ГБУ НСО </w:t>
      </w:r>
      <w:r>
        <w:t xml:space="preserve">«Геофонд</w:t>
      </w:r>
      <w:r>
        <w:t xml:space="preserve">»:</w:t>
      </w:r>
    </w:p>
    <w:p>
      <w:pPr>
        <w:ind w:firstLine="709"/>
        <w:jc w:val="both"/>
      </w:pPr>
      <w:r>
        <w:t xml:space="preserve">КБК 124 0412 4130102730 – 183 853 000,0</w:t>
      </w:r>
      <w:r>
        <w:t xml:space="preserve">0</w:t>
      </w:r>
      <w:r>
        <w:t xml:space="preserve"> рублей на 2025 год;</w:t>
      </w:r>
    </w:p>
    <w:p>
      <w:pPr>
        <w:ind w:firstLine="709"/>
        <w:jc w:val="both"/>
      </w:pPr>
      <w:r>
        <w:t xml:space="preserve">КБК 124 0412 4130102730 – 184 791 900,</w:t>
      </w:r>
      <w:r>
        <w:t xml:space="preserve">0</w:t>
      </w:r>
      <w:r>
        <w:t xml:space="preserve">0 рублей на 2026 год;</w:t>
      </w:r>
    </w:p>
    <w:p>
      <w:pPr>
        <w:ind w:firstLine="709"/>
        <w:jc w:val="both"/>
      </w:pPr>
      <w:r>
        <w:t xml:space="preserve">КБК 124 0412 4130102730 – 196 810 600,</w:t>
      </w:r>
      <w:r>
        <w:t xml:space="preserve">0</w:t>
      </w:r>
      <w:r>
        <w:t xml:space="preserve">0 рублей 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министерства строительства Новосибирской области. </w:t>
      </w:r>
    </w:p>
    <w:p>
      <w:pPr>
        <w:pStyle w:val="905"/>
        <w:widowControl w:val="off"/>
        <w:ind w:firstLine="709"/>
        <w:jc w:val="both"/>
        <w:rPr>
          <w:b/>
          <w:bCs/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highlight w:val="none"/>
        </w:rPr>
      </w:r>
      <w:r>
        <w:rPr>
          <w:b/>
          <w:color w:val="auto"/>
          <w:sz w:val="28"/>
          <w:szCs w:val="28"/>
          <w:highlight w:val="none"/>
        </w:rPr>
      </w:r>
      <w:r>
        <w:rPr>
          <w:b/>
          <w:bCs/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b/>
          <w:bCs/>
          <w:color w:val="auto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</w:rPr>
        <w:t xml:space="preserve">9. Министерство транспорта и дорожного хозяйства Новосибирской области.</w:t>
      </w:r>
      <w:r>
        <w:rPr>
          <w:b/>
          <w:color w:val="auto"/>
          <w:sz w:val="28"/>
          <w:szCs w:val="28"/>
        </w:rPr>
      </w:r>
      <w:r>
        <w:rPr>
          <w:b/>
          <w:bCs/>
          <w:color w:val="auto"/>
          <w:sz w:val="28"/>
          <w:szCs w:val="28"/>
          <w:highlight w:val="none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Реализация проекта закона </w:t>
      </w:r>
      <w:r>
        <w:rPr>
          <w:color w:val="auto"/>
          <w:sz w:val="28"/>
          <w:szCs w:val="28"/>
        </w:rPr>
        <w:t xml:space="preserve">будет осуществляться в рамках полномочия Новосибирской области «Материально-технического и финансового обеспечения деятельности органов государственной власти субъекта Ро</w:t>
      </w:r>
      <w:r>
        <w:rPr>
          <w:color w:val="auto"/>
          <w:sz w:val="28"/>
          <w:szCs w:val="28"/>
        </w:rPr>
        <w:t xml:space="preserve">ссийской Федерации и государственных учреждений субъекта Российской Федерации,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Федерации».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Законом Новосибирской области </w:t>
      </w:r>
      <w:r>
        <w:rPr>
          <w:color w:val="auto"/>
          <w:sz w:val="28"/>
          <w:szCs w:val="28"/>
        </w:rPr>
        <w:t xml:space="preserve">№ 546-ОЗ министерству транспорта и дорожного хозяйства Новосибирской области предусмотрены бюджетные ассигнования: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реализацию государствен</w:t>
      </w:r>
      <w:r>
        <w:rPr>
          <w:color w:val="auto"/>
          <w:sz w:val="28"/>
          <w:szCs w:val="28"/>
        </w:rPr>
        <w:t xml:space="preserve">ной программы Новосибирская области «Развитие автомобильных дорог регионального, межмуниципального и местного значения в Новосибирской области», утвержденной постановлением Правительства Новосибирской области от 23.01.2015 № 22-п, по направлениям расходов: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 финансовое обеспечение деятельности</w:t>
      </w:r>
      <w:r>
        <w:rPr>
          <w:color w:val="auto"/>
          <w:sz w:val="28"/>
          <w:szCs w:val="28"/>
        </w:rPr>
        <w:t xml:space="preserve"> по управлению дорожным хозяйством (расходы на выплаты персоналу казенных учреждений). Расходное обязательство 176000002 «Обеспечение деятельности подведомственных учреждений в сфере дорожного строительства и управления дорожным хозяйством» (ГКУ НСО ТУАД):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КБК 176 0409 61.3.01.9Д620 110 – 338 724 800,00 рублей на 2025 год;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КБК 176 0409 61.3.01.9Д620 110 – 383 863 300,00 рублей на 2026 год;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КБК 176 0409 61.3.01.9Д620 110 – 411 628 800,00 рублей на 2027 год.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 финансовое обеспечение деятельности</w:t>
      </w:r>
      <w:r>
        <w:rPr>
          <w:color w:val="auto"/>
          <w:sz w:val="28"/>
          <w:szCs w:val="28"/>
        </w:rPr>
        <w:t xml:space="preserve"> по управлению дорожным хозяйством (расходы на выплаты персоналу казенных учреждений). Расходное обязательство 176000002 «Обеспечение деятельности подведомственных учреждений в сфере дорожного строительства и управления дорожным хозяйством» (ГКУ НСО Мост):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КБК 176 0409 61.3.01.9Д620 110 – 80 652 100,00 рублей на 2025 год;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КБК 176 0409 61.3.01.9Д620 110 – 91 958 100,00 рублей на 2026 год;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КБК 176 0409 61.3.01.9Д620 110 – 98 912 600,00 рублей на 2027 год.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реализацию государственной программы Новосибирская области </w:t>
      </w:r>
      <w:r>
        <w:rPr>
          <w:color w:val="auto"/>
          <w:sz w:val="28"/>
          <w:szCs w:val="28"/>
        </w:rPr>
        <w:t xml:space="preserve">«Построение и развитие аппаратно-программного комплекса «Безопасный город» в Новосибирской области», утвержденной постановлением Правительства Новосибирской области от 14.12.2016 № 403-п: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 финансовое обеспечение деятельности государствен</w:t>
      </w:r>
      <w:r>
        <w:rPr>
          <w:color w:val="auto"/>
          <w:sz w:val="28"/>
          <w:szCs w:val="28"/>
        </w:rPr>
        <w:t xml:space="preserve">ного казенного учреждения Новосибирской области «Центр организации дорожного движения» (расходы на выплаты персоналу казенных учреждений). Расходное обязательство 176000003 «Обеспечение деятельности подведомственных учреждений в сфере дорожного хозяйства»: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КБК 176 0409 223019Д610 110 – 244 680 600,00 рублей на 2025 год;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КБК 176 0409 223019Д610 110 – 279 050 800,00 рублей на 2026 год;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КБК 176 0409 223019Д610 110 – 300 192 400,00 рублей на 2027 год.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реализацию государственной программы Нов</w:t>
      </w:r>
      <w:r>
        <w:rPr>
          <w:color w:val="auto"/>
          <w:sz w:val="28"/>
          <w:szCs w:val="28"/>
        </w:rPr>
        <w:t xml:space="preserve">осибирской области «Обеспечение доступности услуг общественного пассажирского транспорта, в том числе Новосибирского метрополитена, для населения Новосибирской области», утвержденной постановлением Правительства Новосибирской области от 24.02.2014 № 83-п: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финансовое обеспечение деятельности (оказания услуг) государственных учреждений (расходы на выплаты персоналу казенных учреждений). Расходное обязательство 1760000108 «Обеспечение деятельности подведомственных учреждений в сфере транспорта»: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КБК 176 0408 2030100590 110 – 74 926 500,00 рублей на 2025 год;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КБК 176 0408 2030100590 110 – 85 441 800,00 рублей на 2026 год;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КБК 176 0408 2030100590 110 – 91 910 000,00 рублей на 2027 год.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министерства транспорта и дорожного хозяйства Новосибирской области. </w:t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jc w:val="both"/>
      </w:pPr>
    </w:p>
    <w:p>
      <w:pPr>
        <w:pStyle w:val="740"/>
        <w:ind w:left="0" w:firstLine="709"/>
        <w:jc w:val="both"/>
        <w:rPr>
          <w:b/>
          <w:bCs/>
          <w:highlight w:val="none"/>
        </w:rPr>
      </w:pPr>
      <w:r>
        <w:rPr>
          <w:b/>
        </w:rPr>
        <w:t xml:space="preserve">10. Министерство труда и социального развития Новосибирской области</w:t>
      </w:r>
      <w:r>
        <w:rPr>
          <w:b/>
        </w:rPr>
        <w:t xml:space="preserve">.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740"/>
        <w:ind w:left="0" w:firstLine="709"/>
        <w:jc w:val="both"/>
      </w:pPr>
      <w:r>
        <w:t xml:space="preserve">Реализа</w:t>
      </w:r>
      <w:r>
        <w:t xml:space="preserve">ция проекта закона будет осуществляться</w:t>
      </w:r>
      <w:r>
        <w:t xml:space="preserve"> в рамках</w:t>
      </w:r>
      <w:r>
        <w:t xml:space="preserve"> следующих</w:t>
      </w:r>
      <w:r>
        <w:t xml:space="preserve"> полномочий Новосибирской области</w:t>
      </w:r>
      <w:r>
        <w:t xml:space="preserve">:</w:t>
      </w:r>
    </w:p>
    <w:p>
      <w:pPr>
        <w:pStyle w:val="740"/>
        <w:ind w:left="0" w:firstLine="709"/>
        <w:jc w:val="both"/>
      </w:pPr>
      <w:r>
        <w:t xml:space="preserve">- м</w:t>
      </w:r>
      <w:r>
        <w:t xml:space="preserve">атериально-техническое и финансовое обеспечение деятельности органов государств</w:t>
      </w:r>
      <w:r>
        <w:t xml:space="preserve">енной власти субъекта Российской Федерации и государственных учреждений субъекта Российской Федерации,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</w:t>
      </w:r>
      <w:r>
        <w:t xml:space="preserve">а Российской Федерации (в части материально-технического и финансового обеспечения деятельности государственных учреждений субъекта Российской Федерации, в том числе вопросов оплаты труда работников государственных учреждений субъекта Российской Федерации)</w:t>
      </w:r>
      <w:r>
        <w:t xml:space="preserve">;</w:t>
      </w:r>
    </w:p>
    <w:p>
      <w:pPr>
        <w:pStyle w:val="740"/>
        <w:ind w:left="0" w:firstLine="709"/>
        <w:jc w:val="both"/>
      </w:pPr>
      <w:r>
        <w:t xml:space="preserve">- с</w:t>
      </w:r>
      <w:r>
        <w:t xml:space="preserve">оциальная поддержка и социальное обслуживание граждан пожилого возраста и инвалидов, граждан, находящихся в трудной жизненной ситуации, а т</w:t>
      </w:r>
      <w:r>
        <w:t xml:space="preserve">акже детей-сирот, безнадзорных детей, детей, оставшихся без попечения родителей (за исключением детей, обучающихся в федеральных государственных образовательных организациях), социальной поддержки ветеранов труда, лиц, проработавших в тылу в период Великой</w:t>
      </w:r>
      <w:r>
        <w:t xml:space="preserve">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граждан, в том числе за счет предоставления субвенций местным бюджетам для выплаты пособий на оплату </w:t>
      </w:r>
      <w:r>
        <w:t xml:space="preserve">проезда на общественном транспорте, иных социальных пособий, а также для возмещения расходов муниципальных образований в связи с предоставлением законами субъекта Российской Федерации льгот отдельным</w:t>
      </w:r>
      <w:r>
        <w:t xml:space="preserve"> категориям граждан, в том числе льгот по оплате услуг связи, организация предоставления гражданам субсидий на оплату жилых помещений и коммунальных услуг (в части обеспечения деятельности организаций социального обслуживания субъекта Российской Федерации)</w:t>
      </w:r>
      <w:r>
        <w:t xml:space="preserve">;</w:t>
      </w:r>
    </w:p>
    <w:p>
      <w:pPr>
        <w:pStyle w:val="740"/>
        <w:ind w:left="0" w:firstLine="709"/>
        <w:jc w:val="both"/>
      </w:pPr>
      <w:r>
        <w:t xml:space="preserve">- о</w:t>
      </w:r>
      <w:r>
        <w:t xml:space="preserve">существление мер в области содействия занятости населения, включая меры по содействию гражданам в поиске подходящей работы, организация профессиональной ориентации граждан, псих</w:t>
      </w:r>
      <w:r>
        <w:t xml:space="preserve">ологической поддержке безработных граждан, социальной адаптации безработных граждан на рынке труда, организация профессионального обучения и дополнительного профессионального образования безработных граждан, включая обучение в другой местности, по содейств</w:t>
      </w:r>
      <w:r>
        <w:t xml:space="preserve">ию началу осуществления предпринимательской деятельности безработных граждан; меры по содействию в трудоустройстве и занятости инвалидов, организация сопровождения при содействии занятости инвалидов, предотвращение любых форм ограничения прав и дискриминац</w:t>
      </w:r>
      <w:r>
        <w:t xml:space="preserve">ии по признаку инвалидности; организация и осуществление специальных мероприятий по профилированию безработных граждан; организация ярмарок вакансий и учебных рабочих мест; организация проведения оплачиваемых общественных работ, организации временного труд</w:t>
      </w:r>
      <w:r>
        <w:t xml:space="preserve">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25 лет, имеющих среднее профессиональное образование или высш</w:t>
      </w:r>
      <w:r>
        <w:t xml:space="preserve">ее образование и ищущих работу в течение года с даты выдачи им документа об образовании и о квалификации, организация и осуществление финансовой поддержки безработным гражданам и гражданам, зарегистрированным в органах службы занятости в целях поиска подхо</w:t>
      </w:r>
      <w:r>
        <w:t xml:space="preserve">дящей работы, при переезде и безработным гражданам и гражданам, зарегистрированным в органах службы занятости в целях поиска подходящей работы, и членам их семей при переселении в другую местность для трудоустройства по направлению органов службы занятости</w:t>
      </w:r>
      <w:r>
        <w:t xml:space="preserve">.</w:t>
      </w:r>
    </w:p>
    <w:p>
      <w:pPr>
        <w:pStyle w:val="740"/>
        <w:ind w:left="0" w:firstLine="709"/>
        <w:jc w:val="both"/>
      </w:pPr>
      <w:r>
        <w:t xml:space="preserve">Законом Новосибирской области № 546-ОЗ министерству </w:t>
      </w:r>
      <w:r>
        <w:t xml:space="preserve">труда и социального развития</w:t>
      </w:r>
      <w:r>
        <w:t xml:space="preserve"> Новосибирской области предусмотрены бюджетные ассигнования</w:t>
      </w:r>
      <w:r>
        <w:t xml:space="preserve"> на</w:t>
      </w:r>
      <w:r>
        <w:t xml:space="preserve">:</w:t>
      </w:r>
    </w:p>
    <w:p>
      <w:pPr>
        <w:pStyle w:val="740"/>
        <w:ind w:left="0" w:firstLine="709"/>
        <w:jc w:val="both"/>
      </w:pPr>
      <w:r>
        <w:t xml:space="preserve">- о</w:t>
      </w:r>
      <w:r>
        <w:t xml:space="preserve">беспечение деятельности (предоставление мер государственной поддержки) государственных учреждений, осуществляющих функции в области занятости населения</w:t>
      </w:r>
      <w:r>
        <w:t xml:space="preserve"> </w:t>
      </w:r>
      <w:r>
        <w:rPr>
          <w:szCs w:val="28"/>
        </w:rPr>
        <w:t xml:space="preserve">(расходы на выплаты персоналу казенных учреждений).</w:t>
      </w:r>
      <w:r>
        <w:t xml:space="preserve"> </w:t>
      </w:r>
      <w:r>
        <w:rPr>
          <w:szCs w:val="28"/>
        </w:rPr>
        <w:t xml:space="preserve">Расходное обязательство </w:t>
      </w:r>
      <w:r>
        <w:rPr>
          <w:szCs w:val="28"/>
        </w:rPr>
        <w:t xml:space="preserve">«</w:t>
      </w:r>
      <w:r>
        <w:rPr>
          <w:szCs w:val="28"/>
        </w:rPr>
        <w:t xml:space="preserve">Обеспечение деятельности учреждений занятости населения</w:t>
      </w:r>
      <w:r>
        <w:rPr>
          <w:szCs w:val="28"/>
        </w:rPr>
        <w:t xml:space="preserve">»</w:t>
      </w:r>
      <w:r>
        <w:t xml:space="preserve">:</w:t>
      </w:r>
    </w:p>
    <w:p>
      <w:pPr>
        <w:pStyle w:val="740"/>
        <w:ind w:left="0" w:firstLine="709"/>
        <w:jc w:val="both"/>
      </w:pPr>
      <w:r>
        <w:t xml:space="preserve">КБК 023 </w:t>
      </w:r>
      <w:r>
        <w:t xml:space="preserve">0401</w:t>
      </w:r>
      <w:r>
        <w:t xml:space="preserve"> </w:t>
      </w:r>
      <w:r>
        <w:t xml:space="preserve">02.3.01.01090</w:t>
      </w:r>
      <w:r>
        <w:t xml:space="preserve"> </w:t>
      </w:r>
      <w:r>
        <w:t xml:space="preserve">110</w:t>
      </w:r>
      <w:r>
        <w:t xml:space="preserve"> – 566 646 </w:t>
      </w:r>
      <w:r>
        <w:t xml:space="preserve">6</w:t>
      </w:r>
      <w:r>
        <w:t xml:space="preserve">00,00 рублей на 2025 год;</w:t>
      </w:r>
    </w:p>
    <w:p>
      <w:pPr>
        <w:pStyle w:val="740"/>
        <w:ind w:left="0" w:firstLine="709"/>
        <w:jc w:val="both"/>
      </w:pPr>
      <w:r>
        <w:t xml:space="preserve">КБК 023 </w:t>
      </w:r>
      <w:r>
        <w:t xml:space="preserve">0401</w:t>
      </w:r>
      <w:r>
        <w:t xml:space="preserve"> </w:t>
      </w:r>
      <w:r>
        <w:t xml:space="preserve">02.3.01.01090</w:t>
      </w:r>
      <w:r>
        <w:t xml:space="preserve"> </w:t>
      </w:r>
      <w:r>
        <w:t xml:space="preserve">110</w:t>
      </w:r>
      <w:r>
        <w:t xml:space="preserve"> – 648</w:t>
      </w:r>
      <w:r>
        <w:t xml:space="preserve"> 587 </w:t>
      </w:r>
      <w:r>
        <w:t xml:space="preserve">5</w:t>
      </w:r>
      <w:r>
        <w:t xml:space="preserve">00,00</w:t>
      </w:r>
      <w:r>
        <w:t xml:space="preserve"> рублей на 202</w:t>
      </w:r>
      <w:r>
        <w:t xml:space="preserve">6</w:t>
      </w:r>
      <w:r>
        <w:t xml:space="preserve"> год;</w:t>
      </w:r>
    </w:p>
    <w:p>
      <w:pPr>
        <w:pStyle w:val="740"/>
        <w:ind w:left="0" w:firstLine="709"/>
        <w:jc w:val="both"/>
      </w:pPr>
      <w:r>
        <w:t xml:space="preserve">КБК 023 </w:t>
      </w:r>
      <w:r>
        <w:t xml:space="preserve">0401</w:t>
      </w:r>
      <w:r>
        <w:t xml:space="preserve"> </w:t>
      </w:r>
      <w:r>
        <w:t xml:space="preserve">02.3.01.01090</w:t>
      </w:r>
      <w:r>
        <w:t xml:space="preserve"> </w:t>
      </w:r>
      <w:r>
        <w:t xml:space="preserve">110</w:t>
      </w:r>
      <w:r>
        <w:t xml:space="preserve"> – 697</w:t>
      </w:r>
      <w:r>
        <w:t xml:space="preserve"> 144 </w:t>
      </w:r>
      <w:r>
        <w:t xml:space="preserve">4</w:t>
      </w:r>
      <w:r>
        <w:t xml:space="preserve">00,00</w:t>
      </w:r>
      <w:r>
        <w:t xml:space="preserve"> рублей на 202</w:t>
      </w:r>
      <w:r>
        <w:t xml:space="preserve">7 год.</w:t>
      </w:r>
    </w:p>
    <w:p>
      <w:pPr>
        <w:pStyle w:val="740"/>
        <w:ind w:left="0" w:firstLine="709"/>
        <w:jc w:val="both"/>
        <w:rPr>
          <w:szCs w:val="28"/>
        </w:rPr>
      </w:pPr>
      <w:r>
        <w:t xml:space="preserve">- ф</w:t>
      </w:r>
      <w:r>
        <w:t xml:space="preserve">инансовое обеспечение деятельности (оказания услуг) государственных учреждений</w:t>
      </w:r>
      <w:r>
        <w:t xml:space="preserve">. </w:t>
      </w:r>
      <w:r>
        <w:rPr>
          <w:szCs w:val="28"/>
        </w:rPr>
        <w:t xml:space="preserve">Расходное обязательство </w:t>
      </w:r>
      <w:r>
        <w:rPr>
          <w:szCs w:val="28"/>
        </w:rPr>
        <w:t xml:space="preserve">«</w:t>
      </w:r>
      <w:r>
        <w:rPr>
          <w:szCs w:val="28"/>
        </w:rPr>
        <w:t xml:space="preserve">Прочие учреждения социального обслуживания населения</w:t>
      </w:r>
      <w:r>
        <w:rPr>
          <w:szCs w:val="28"/>
        </w:rPr>
        <w:t xml:space="preserve">»:</w:t>
      </w:r>
      <w:r>
        <w:rPr>
          <w:szCs w:val="28"/>
        </w:rPr>
      </w:r>
      <w:r>
        <w:rPr>
          <w:szCs w:val="28"/>
        </w:rPr>
      </w:r>
    </w:p>
    <w:p>
      <w:pPr>
        <w:pStyle w:val="740"/>
        <w:ind w:left="0" w:firstLine="709"/>
        <w:jc w:val="both"/>
      </w:pPr>
      <w:r>
        <w:t xml:space="preserve">КБК </w:t>
      </w:r>
      <w:r>
        <w:t xml:space="preserve">023</w:t>
      </w:r>
      <w:r>
        <w:t xml:space="preserve"> </w:t>
      </w:r>
      <w:r>
        <w:t xml:space="preserve">1002</w:t>
      </w:r>
      <w:r>
        <w:t xml:space="preserve"> </w:t>
      </w:r>
      <w:r>
        <w:t xml:space="preserve">28.3.01.00590</w:t>
      </w:r>
      <w:r>
        <w:t xml:space="preserve"> </w:t>
      </w:r>
      <w:r>
        <w:t xml:space="preserve">610</w:t>
      </w:r>
      <w:r>
        <w:t xml:space="preserve"> –</w:t>
      </w:r>
      <w:r>
        <w:t xml:space="preserve"> </w:t>
      </w:r>
      <w:r>
        <w:t xml:space="preserve">45</w:t>
      </w:r>
      <w:r>
        <w:t xml:space="preserve"> </w:t>
      </w:r>
      <w:r>
        <w:t xml:space="preserve">152</w:t>
      </w:r>
      <w:r>
        <w:t xml:space="preserve"> </w:t>
      </w:r>
      <w:r>
        <w:t xml:space="preserve">0</w:t>
      </w:r>
      <w:r>
        <w:t xml:space="preserve">00,00</w:t>
      </w:r>
      <w:r>
        <w:t xml:space="preserve"> </w:t>
      </w:r>
      <w:r>
        <w:t xml:space="preserve">рублей на 2025 год;</w:t>
      </w:r>
    </w:p>
    <w:p>
      <w:pPr>
        <w:pStyle w:val="740"/>
        <w:ind w:left="0" w:firstLine="709"/>
        <w:jc w:val="both"/>
      </w:pPr>
      <w:r>
        <w:t xml:space="preserve">КБК 023 1002 28.3.01.00590 610 – 50</w:t>
      </w:r>
      <w:r>
        <w:t xml:space="preserve"> 314 </w:t>
      </w:r>
      <w:r>
        <w:t xml:space="preserve">700,00</w:t>
      </w:r>
      <w:r>
        <w:t xml:space="preserve"> </w:t>
      </w:r>
      <w:r>
        <w:t xml:space="preserve">рублей на 2026 год;</w:t>
      </w:r>
    </w:p>
    <w:p>
      <w:pPr>
        <w:pStyle w:val="740"/>
        <w:ind w:left="0" w:firstLine="709"/>
        <w:jc w:val="both"/>
      </w:pPr>
      <w:r>
        <w:t xml:space="preserve">КБК 023 1002 28.3.01.00590 610 – 53</w:t>
      </w:r>
      <w:r>
        <w:t xml:space="preserve"> 490 </w:t>
      </w:r>
      <w:r>
        <w:t xml:space="preserve">3</w:t>
      </w:r>
      <w:r>
        <w:t xml:space="preserve">00,00</w:t>
      </w:r>
      <w:r>
        <w:t xml:space="preserve"> </w:t>
      </w:r>
      <w:r>
        <w:t xml:space="preserve">рублей на 2027 год.</w:t>
      </w:r>
    </w:p>
    <w:p>
      <w:pPr>
        <w:pStyle w:val="740"/>
        <w:ind w:left="0" w:firstLine="709"/>
        <w:jc w:val="both"/>
        <w:rPr>
          <w:szCs w:val="28"/>
        </w:rPr>
      </w:pPr>
      <w:r>
        <w:t xml:space="preserve">- ф</w:t>
      </w:r>
      <w:r>
        <w:t xml:space="preserve">инансовое обеспечение деятельности (оказания услуг) государственных учреждений</w:t>
      </w:r>
      <w:r>
        <w:t xml:space="preserve">. </w:t>
      </w:r>
      <w:r>
        <w:rPr>
          <w:szCs w:val="28"/>
        </w:rPr>
        <w:t xml:space="preserve">Расходное обязательство </w:t>
      </w:r>
      <w:r>
        <w:rPr>
          <w:szCs w:val="28"/>
        </w:rPr>
        <w:t xml:space="preserve">«</w:t>
      </w:r>
      <w:r>
        <w:rPr>
          <w:szCs w:val="28"/>
        </w:rPr>
        <w:t xml:space="preserve">Дома-интернаты для престарелых и инвалидов</w:t>
      </w:r>
      <w:r>
        <w:rPr>
          <w:szCs w:val="28"/>
        </w:rPr>
        <w:t xml:space="preserve">»:</w:t>
      </w:r>
      <w:r>
        <w:rPr>
          <w:szCs w:val="28"/>
        </w:rPr>
      </w:r>
      <w:r>
        <w:rPr>
          <w:szCs w:val="28"/>
        </w:rPr>
      </w:r>
    </w:p>
    <w:p>
      <w:pPr>
        <w:pStyle w:val="740"/>
        <w:ind w:left="0" w:firstLine="709"/>
        <w:jc w:val="both"/>
      </w:pPr>
      <w:r>
        <w:t xml:space="preserve">КБК </w:t>
      </w:r>
      <w:r>
        <w:t xml:space="preserve">0231002</w:t>
      </w:r>
      <w:r>
        <w:t xml:space="preserve"> </w:t>
      </w:r>
      <w:r>
        <w:t xml:space="preserve">28.3.01.00590</w:t>
      </w:r>
      <w:r>
        <w:t xml:space="preserve"> </w:t>
      </w:r>
      <w:r>
        <w:t xml:space="preserve">620 </w:t>
      </w:r>
      <w:r>
        <w:t xml:space="preserve">– </w:t>
      </w:r>
      <w:r>
        <w:t xml:space="preserve">3 734</w:t>
      </w:r>
      <w:r>
        <w:t xml:space="preserve"> </w:t>
      </w:r>
      <w:r>
        <w:t xml:space="preserve">666</w:t>
      </w:r>
      <w:r>
        <w:t xml:space="preserve"> </w:t>
      </w:r>
      <w:r>
        <w:t xml:space="preserve">9</w:t>
      </w:r>
      <w:r>
        <w:t xml:space="preserve">00,00 рублей</w:t>
      </w:r>
      <w:r>
        <w:t xml:space="preserve"> </w:t>
      </w:r>
      <w:r>
        <w:t xml:space="preserve">на 2025 год;</w:t>
      </w:r>
    </w:p>
    <w:p>
      <w:pPr>
        <w:pStyle w:val="740"/>
        <w:ind w:left="0" w:firstLine="709"/>
        <w:jc w:val="both"/>
      </w:pPr>
      <w:r>
        <w:t xml:space="preserve">КБК 0231002 28.3.01.00590 620 – 3 712</w:t>
      </w:r>
      <w:r>
        <w:t xml:space="preserve"> 226 </w:t>
      </w:r>
      <w:r>
        <w:t xml:space="preserve">0</w:t>
      </w:r>
      <w:r>
        <w:t xml:space="preserve">00,00 рублей</w:t>
      </w:r>
      <w:r>
        <w:t xml:space="preserve"> </w:t>
      </w:r>
      <w:r>
        <w:t xml:space="preserve">на 2026 год;</w:t>
      </w:r>
    </w:p>
    <w:p>
      <w:pPr>
        <w:pStyle w:val="740"/>
        <w:ind w:left="0" w:firstLine="709"/>
        <w:jc w:val="both"/>
      </w:pPr>
      <w:r>
        <w:t xml:space="preserve">КБК 0231002 28.3.01.00590 620 – 3 932</w:t>
      </w:r>
      <w:r>
        <w:t xml:space="preserve"> 086 </w:t>
      </w:r>
      <w:r>
        <w:t xml:space="preserve">3</w:t>
      </w:r>
      <w:r>
        <w:t xml:space="preserve">00,00 рублей</w:t>
      </w:r>
      <w:r>
        <w:t xml:space="preserve"> </w:t>
      </w:r>
      <w:r>
        <w:t xml:space="preserve">на 2027 год.</w:t>
      </w:r>
    </w:p>
    <w:p>
      <w:pPr>
        <w:pStyle w:val="740"/>
        <w:ind w:left="0" w:firstLine="709"/>
        <w:jc w:val="both"/>
        <w:rPr>
          <w:szCs w:val="28"/>
        </w:rPr>
      </w:pPr>
      <w:r>
        <w:t xml:space="preserve">- ф</w:t>
      </w:r>
      <w:r>
        <w:t xml:space="preserve">инансовое обеспечение деятельности (оказания услуг) государственных учреждений</w:t>
      </w:r>
      <w:r>
        <w:rPr>
          <w:szCs w:val="28"/>
        </w:rPr>
        <w:t xml:space="preserve"> </w:t>
      </w:r>
      <w:r>
        <w:rPr>
          <w:szCs w:val="28"/>
        </w:rPr>
        <w:t xml:space="preserve">(расходы на выплаты персоналу казенных учреждений).</w:t>
      </w:r>
      <w:r>
        <w:t xml:space="preserve"> </w:t>
      </w:r>
      <w:r>
        <w:rPr>
          <w:szCs w:val="28"/>
        </w:rPr>
        <w:t xml:space="preserve">Расходное обязательство </w:t>
      </w:r>
      <w:r>
        <w:rPr>
          <w:szCs w:val="28"/>
        </w:rPr>
        <w:t xml:space="preserve">«</w:t>
      </w:r>
      <w:r>
        <w:rPr>
          <w:szCs w:val="28"/>
        </w:rPr>
        <w:t xml:space="preserve">Расходы на обеспечение деятельности (оказание услуг) государственных учреждений</w:t>
      </w:r>
      <w:r>
        <w:rPr>
          <w:szCs w:val="28"/>
        </w:rPr>
        <w:t xml:space="preserve">»:</w:t>
      </w:r>
      <w:r>
        <w:rPr>
          <w:szCs w:val="28"/>
        </w:rPr>
      </w:r>
      <w:r>
        <w:rPr>
          <w:szCs w:val="28"/>
        </w:rPr>
      </w:r>
    </w:p>
    <w:p>
      <w:pPr>
        <w:pStyle w:val="740"/>
        <w:ind w:left="0" w:firstLine="709"/>
        <w:jc w:val="both"/>
      </w:pPr>
      <w:r>
        <w:t xml:space="preserve">КБК</w:t>
      </w:r>
      <w:r>
        <w:t xml:space="preserve"> 023</w:t>
      </w:r>
      <w:r>
        <w:t xml:space="preserve"> </w:t>
      </w:r>
      <w:r>
        <w:t xml:space="preserve">1006</w:t>
      </w:r>
      <w:r>
        <w:t xml:space="preserve"> </w:t>
      </w:r>
      <w:r>
        <w:t xml:space="preserve">28.3.01.00590</w:t>
      </w:r>
      <w:r>
        <w:t xml:space="preserve"> </w:t>
      </w:r>
      <w:r>
        <w:t xml:space="preserve">110</w:t>
      </w:r>
      <w:r>
        <w:t xml:space="preserve"> –</w:t>
      </w:r>
      <w:r>
        <w:t xml:space="preserve"> </w:t>
      </w:r>
      <w:r>
        <w:t xml:space="preserve">1 081 509 </w:t>
      </w:r>
      <w:r>
        <w:t xml:space="preserve">8</w:t>
      </w:r>
      <w:r>
        <w:t xml:space="preserve">00,00</w:t>
      </w:r>
      <w:r>
        <w:t xml:space="preserve"> </w:t>
      </w:r>
      <w:r>
        <w:t xml:space="preserve">(с учетом внесенных изменений в </w:t>
      </w:r>
      <w:r>
        <w:t xml:space="preserve">сводную бюджетную </w:t>
      </w:r>
      <w:r>
        <w:t xml:space="preserve">роспись </w:t>
      </w:r>
      <w:r>
        <w:t xml:space="preserve">1 081 506 902,78</w:t>
      </w:r>
      <w:r>
        <w:t xml:space="preserve">)</w:t>
      </w:r>
      <w:r>
        <w:t xml:space="preserve"> </w:t>
      </w:r>
      <w:r>
        <w:t xml:space="preserve">рублей</w:t>
      </w:r>
      <w:r>
        <w:t xml:space="preserve"> </w:t>
      </w:r>
      <w:r>
        <w:t xml:space="preserve">на 2025 год;</w:t>
      </w:r>
    </w:p>
    <w:p>
      <w:pPr>
        <w:pStyle w:val="740"/>
        <w:ind w:left="0" w:firstLine="709"/>
        <w:jc w:val="both"/>
      </w:pPr>
      <w:r>
        <w:t xml:space="preserve">КБК</w:t>
      </w:r>
      <w:r>
        <w:t xml:space="preserve"> 023</w:t>
      </w:r>
      <w:r>
        <w:t xml:space="preserve"> </w:t>
      </w:r>
      <w:r>
        <w:t xml:space="preserve">1006</w:t>
      </w:r>
      <w:r>
        <w:t xml:space="preserve"> </w:t>
      </w:r>
      <w:r>
        <w:t xml:space="preserve">28.3.01.00590</w:t>
      </w:r>
      <w:r>
        <w:t xml:space="preserve"> </w:t>
      </w:r>
      <w:r>
        <w:t xml:space="preserve">110</w:t>
      </w:r>
      <w:r>
        <w:t xml:space="preserve"> – 1 233</w:t>
      </w:r>
      <w:r>
        <w:t xml:space="preserve"> </w:t>
      </w:r>
      <w:r>
        <w:t xml:space="preserve">365</w:t>
      </w:r>
      <w:r>
        <w:t xml:space="preserve"> </w:t>
      </w:r>
      <w:r>
        <w:t xml:space="preserve">9</w:t>
      </w:r>
      <w:r>
        <w:t xml:space="preserve">00,00</w:t>
      </w:r>
      <w:r>
        <w:t xml:space="preserve"> </w:t>
      </w:r>
      <w:r>
        <w:t xml:space="preserve">рублей</w:t>
      </w:r>
      <w:r>
        <w:t xml:space="preserve"> </w:t>
      </w:r>
      <w:r>
        <w:t xml:space="preserve">на 2026 год;</w:t>
      </w:r>
    </w:p>
    <w:p>
      <w:pPr>
        <w:pStyle w:val="740"/>
        <w:ind w:left="0" w:firstLine="709"/>
        <w:jc w:val="both"/>
      </w:pPr>
      <w:r>
        <w:t xml:space="preserve">КБК</w:t>
      </w:r>
      <w:r>
        <w:t xml:space="preserve"> 023</w:t>
      </w:r>
      <w:r>
        <w:t xml:space="preserve"> </w:t>
      </w:r>
      <w:r>
        <w:t xml:space="preserve">1006</w:t>
      </w:r>
      <w:r>
        <w:t xml:space="preserve"> </w:t>
      </w:r>
      <w:r>
        <w:t xml:space="preserve">28.3.01.00590</w:t>
      </w:r>
      <w:r>
        <w:t xml:space="preserve"> </w:t>
      </w:r>
      <w:r>
        <w:t xml:space="preserve">110</w:t>
      </w:r>
      <w:r>
        <w:t xml:space="preserve"> – 1 326</w:t>
      </w:r>
      <w:r>
        <w:t xml:space="preserve"> 774 </w:t>
      </w:r>
      <w:r>
        <w:t xml:space="preserve">9</w:t>
      </w:r>
      <w:r>
        <w:t xml:space="preserve">00,00</w:t>
      </w:r>
      <w:r>
        <w:t xml:space="preserve"> </w:t>
      </w:r>
      <w:r>
        <w:t xml:space="preserve">рублей</w:t>
      </w:r>
      <w:r>
        <w:t xml:space="preserve"> </w:t>
      </w:r>
      <w:r>
        <w:t xml:space="preserve">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министерства </w:t>
      </w:r>
      <w:r>
        <w:t xml:space="preserve">труда и социального развития Новосибирской области</w:t>
      </w:r>
      <w:r>
        <w:t xml:space="preserve">. </w:t>
      </w:r>
    </w:p>
    <w:p>
      <w:pPr>
        <w:ind w:firstLine="709"/>
        <w:jc w:val="both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firstLine="709"/>
        <w:jc w:val="both"/>
        <w:rPr>
          <w:b/>
        </w:rPr>
      </w:pPr>
      <w:r>
        <w:rPr>
          <w:b/>
        </w:rPr>
        <w:t xml:space="preserve">11. Министерство физической культуры и спорта Новосибирской области.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полномочия Новосибирской области на финансовое обеспечение деятельности (оказания услуг) государственных учреждений физической культуры и спорта.</w:t>
      </w:r>
    </w:p>
    <w:p>
      <w:pPr>
        <w:ind w:firstLine="709"/>
        <w:jc w:val="both"/>
      </w:pPr>
      <w:r>
        <w:t xml:space="preserve">Законом Новосибирской области </w:t>
      </w:r>
      <w:r>
        <w:t xml:space="preserve">№ 546-ОЗ министерству физической культуры и спорта Новосибирской области предусмотрены бюджетные ассигнования на: </w:t>
      </w:r>
    </w:p>
    <w:p>
      <w:pPr>
        <w:ind w:firstLine="709"/>
        <w:jc w:val="both"/>
      </w:pPr>
      <w:r>
        <w:t xml:space="preserve">- финансовое обеспечение деятельности (оказания услуг) государственных учреждений физической культуры и спорта:</w:t>
      </w:r>
    </w:p>
    <w:p>
      <w:pPr>
        <w:ind w:firstLine="709"/>
        <w:jc w:val="both"/>
      </w:pPr>
      <w:r>
        <w:t xml:space="preserve">КБК 127 1103 1430101050624 – 2 349 602 326,25 рублей на 2025 год;</w:t>
      </w:r>
    </w:p>
    <w:p>
      <w:pPr>
        <w:ind w:firstLine="709"/>
        <w:jc w:val="both"/>
      </w:pPr>
      <w:r>
        <w:t xml:space="preserve">КБК 127 1103 1430101050621 – 1 615 980 200,00 рублей на 2025 год;</w:t>
      </w:r>
    </w:p>
    <w:p>
      <w:pPr>
        <w:ind w:firstLine="709"/>
        <w:jc w:val="both"/>
      </w:pPr>
      <w:r>
        <w:t xml:space="preserve">КБК 127 1103 1430101050624 – 2 508 412 360,00 рублей на 2026 год;</w:t>
      </w:r>
    </w:p>
    <w:p>
      <w:pPr>
        <w:ind w:firstLine="709"/>
        <w:jc w:val="both"/>
      </w:pPr>
      <w:r>
        <w:t xml:space="preserve">КБК 127 1103 1430101050621 – 1 595 055 200,00 рублей на 2026 год;</w:t>
      </w:r>
    </w:p>
    <w:p>
      <w:pPr>
        <w:ind w:firstLine="709"/>
        <w:jc w:val="both"/>
      </w:pPr>
      <w:r>
        <w:t xml:space="preserve">КБК 127 1103 1430101050624 – 2 647 275 760,00 рублей на 2027 год;</w:t>
      </w:r>
    </w:p>
    <w:p>
      <w:pPr>
        <w:ind w:firstLine="709"/>
        <w:jc w:val="both"/>
      </w:pPr>
      <w:r>
        <w:t xml:space="preserve">КБК 127 1103 1430101050621 – 1 616 501 900,00 рублей на 2027 год.</w:t>
      </w:r>
    </w:p>
    <w:p>
      <w:pPr>
        <w:ind w:firstLine="709"/>
        <w:jc w:val="both"/>
      </w:pPr>
      <w:r>
        <w:t xml:space="preserve">- финансовое обеспечение деятельности (оказание услуг) профессиональных образовательных учреждений:</w:t>
      </w:r>
    </w:p>
    <w:p>
      <w:pPr>
        <w:ind w:firstLine="709"/>
        <w:jc w:val="both"/>
      </w:pPr>
      <w:r>
        <w:t xml:space="preserve">КБК 127 0704 1430101010621 – 119 168 200,00 рублей на 2025 год;</w:t>
      </w:r>
    </w:p>
    <w:p>
      <w:pPr>
        <w:ind w:firstLine="709"/>
        <w:jc w:val="both"/>
      </w:pPr>
      <w:r>
        <w:t xml:space="preserve">КБК 127 0704 1430101010621 – 121 881 500,00 рублей на 2026 год;</w:t>
      </w:r>
    </w:p>
    <w:p>
      <w:pPr>
        <w:ind w:firstLine="709"/>
        <w:jc w:val="both"/>
      </w:pPr>
      <w:r>
        <w:t xml:space="preserve">КБК 127 0704 1430101010621 – 124 915 300,00 рублей на 2027 год.</w:t>
      </w:r>
    </w:p>
    <w:p>
      <w:pPr>
        <w:ind w:firstLine="709"/>
        <w:jc w:val="both"/>
      </w:pPr>
      <w:r>
        <w:t xml:space="preserve">Код рас</w:t>
      </w:r>
      <w:r>
        <w:t xml:space="preserve">ходного обязательства 127.0.00.006 «Оказание услуг учреждениями, обеспечивающими предоставление услуг в сфере физической культуры и спорта на приобретение имущества, проведение капитального ремонта, связанных с обеспечением деятельности данных учреждений»,</w:t>
      </w:r>
    </w:p>
    <w:p>
      <w:pPr>
        <w:ind w:firstLine="709"/>
        <w:jc w:val="both"/>
      </w:pPr>
      <w:r>
        <w:t xml:space="preserve">код полномочия: 1 01 01 0 072 «Организация развития </w:t>
      </w:r>
      <w:r>
        <w:t xml:space="preserve">национальных видов спорта, организация и проведение официальных региональных и межмуниципальных физкультурных мероприятий и спортивных мероприятий, в том числе физкультурных мероприятий и спортивных мероприятий по реализации Всероссийского физкультурно-спо</w:t>
      </w:r>
      <w:r>
        <w:t xml:space="preserve">ртивного комплекса «Готов к труду и обороне» (ГТО), осуществление региональных и межмуниципальных программ и проектов в области физической культуры и спорта, развитие детско-юношеского спорта, реализация мер по развитию физической культуры и спорта инвалид</w:t>
      </w:r>
      <w:r>
        <w:t xml:space="preserve">ов, лиц с ограниченными возможностями здоровья, создание региональных центров спортивной подготовки и обеспечения их деятельности, присвоение спортивных разрядов и соответствующих квалификационных категорий тренеров, квалификационных категорий специалистов</w:t>
      </w:r>
      <w:r>
        <w:t xml:space="preserve"> в области физической культуры и спорта, квалификационных категорий спортивных судей в порядке, установленном федеральными законами и иными нормативными правовыми актами Российской Федерации, государственной аккредитации региональных спортивных федераций».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</w:t>
      </w:r>
      <w:r>
        <w:t xml:space="preserve">министерств</w:t>
      </w:r>
      <w:r>
        <w:t xml:space="preserve">а</w:t>
      </w:r>
      <w:r>
        <w:t xml:space="preserve"> физической культуры и спорта Новосибирской области</w:t>
      </w:r>
      <w:r>
        <w:t xml:space="preserve">. </w:t>
      </w:r>
    </w:p>
    <w:p>
      <w:pPr>
        <w:ind w:firstLine="709"/>
        <w:jc w:val="both"/>
      </w:pPr>
    </w:p>
    <w:p>
      <w:pPr>
        <w:ind w:firstLine="709"/>
        <w:jc w:val="both"/>
        <w:rPr>
          <w:b/>
        </w:rPr>
      </w:pPr>
      <w:r>
        <w:rPr>
          <w:b/>
        </w:rPr>
        <w:t xml:space="preserve">12. Министерство финансов и налоговой политики Новосибирской области.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полномочия Новосибирской области:</w:t>
      </w:r>
    </w:p>
    <w:p>
      <w:pPr>
        <w:ind w:firstLine="709"/>
        <w:jc w:val="both"/>
      </w:pPr>
      <w:r>
        <w:t xml:space="preserve">- осуществление услуг, выполнение работ и (или) исполнение государственных функц</w:t>
      </w:r>
      <w:r>
        <w:t xml:space="preserve">ий в сфере ресурсного обеспечения, развития автоматизации, информатизации, коммуникаций, а также содействия развитию и внедрению новейших разработок науки и техники, инновационных технологий в сфере управления финансами на территории Новосибирской области;</w:t>
      </w:r>
    </w:p>
    <w:p>
      <w:pPr>
        <w:ind w:firstLine="709"/>
        <w:jc w:val="both"/>
      </w:pPr>
      <w:r>
        <w:t xml:space="preserve">- осуществление услуг, выполнение работ и (или) исполнение государственных функций в сфере реализации полномочий областных исполнительных органов государственной власти Новосибирской области по начислению физическим лицам выплат по оплат</w:t>
      </w:r>
      <w:r>
        <w:t xml:space="preserve">е труда и иных выплат, а также связанных с ними обязательных платежей в бюджеты бюджетной системы Российской Федерации и их перечислению, по ведению бюджетного учета, включая составление и представление бюджетной отчетности, иной обязательной отчетности.  </w:t>
      </w:r>
    </w:p>
    <w:p>
      <w:pPr>
        <w:ind w:firstLine="709"/>
        <w:jc w:val="both"/>
      </w:pPr>
      <w:r>
        <w:t xml:space="preserve">З</w:t>
      </w:r>
      <w:r>
        <w:t xml:space="preserve">аконом Новосибирской области</w:t>
      </w:r>
      <w:r>
        <w:t xml:space="preserve"> </w:t>
      </w:r>
      <w:r>
        <w:t xml:space="preserve">№ 546-ОЗ </w:t>
      </w:r>
      <w:r>
        <w:t xml:space="preserve">министерству финансов и налоговой политики Новосибирской области предусмотрены бюджетные ассигнования на: </w:t>
      </w:r>
    </w:p>
    <w:p>
      <w:pPr>
        <w:ind w:firstLine="709"/>
        <w:jc w:val="both"/>
      </w:pPr>
      <w:r>
        <w:t xml:space="preserve">181 001 01 5 – «Обеспечение деятельности подведомственных учреждений»</w:t>
      </w:r>
    </w:p>
    <w:p>
      <w:pPr>
        <w:ind w:firstLine="709"/>
        <w:jc w:val="both"/>
      </w:pPr>
      <w:r>
        <w:t xml:space="preserve">КБК 181 0106 0330300590 – 1 005 682 900,00 рублей на 2025 год, в том числе на оплату труда и начисления на выплаты по оплате труда – 316 681 800,00 рублей;</w:t>
      </w:r>
    </w:p>
    <w:p>
      <w:pPr>
        <w:ind w:firstLine="709"/>
        <w:jc w:val="both"/>
      </w:pPr>
      <w:r>
        <w:t xml:space="preserve">КБК 181 0106 0330300590 – 1 051 186 400,00 рублей на 2026 год, в том числе на оплату труда и начисления на выплаты по оплате труда – 361 185 300,00 рублей;</w:t>
      </w:r>
    </w:p>
    <w:p>
      <w:pPr>
        <w:ind w:firstLine="709"/>
        <w:jc w:val="both"/>
      </w:pPr>
      <w:r>
        <w:t xml:space="preserve">КБК 181 0106 0330300590 – 1 078 561 100,00 рублей на 2027 год, в том числе на оплату труда и начисления на выплаты по оплате труда – 388 560</w:t>
      </w:r>
      <w:r>
        <w:t xml:space="preserve"> </w:t>
      </w:r>
      <w:r>
        <w:t xml:space="preserve">000</w:t>
      </w:r>
      <w:r>
        <w:t xml:space="preserve">,00</w:t>
      </w:r>
      <w:r>
        <w:t xml:space="preserve"> рублей;</w:t>
      </w:r>
    </w:p>
    <w:p>
      <w:pPr>
        <w:ind w:firstLine="709"/>
        <w:jc w:val="both"/>
      </w:pPr>
      <w:r>
        <w:t xml:space="preserve">КБК 181 0113 0330300590 – 265 812 700,00 рублей на 2025 год, в том числе на оплату труда и начисления на выплаты по оплате труда – 232 087 900,00 рублей;</w:t>
      </w:r>
    </w:p>
    <w:p>
      <w:pPr>
        <w:ind w:firstLine="709"/>
        <w:jc w:val="both"/>
      </w:pPr>
      <w:r>
        <w:t xml:space="preserve">КБК 181 0113 0330300590 – 300 702 160,00 рублей на 2026 год, в том числе на оплату труда и начисления на выплаты по оплате труда – 264 703 200,</w:t>
      </w:r>
      <w:r>
        <w:t xml:space="preserve">00</w:t>
      </w:r>
      <w:r>
        <w:t xml:space="preserve"> рублей;</w:t>
      </w:r>
    </w:p>
    <w:p>
      <w:pPr>
        <w:ind w:firstLine="709"/>
        <w:jc w:val="both"/>
      </w:pPr>
      <w:r>
        <w:t xml:space="preserve">КБК 181 0113 0330300590 – 324 073 420,00 рублей на 2027 год, в том числе на оплату труда и начисления на выплаты по оплате труда – 284 765 400,00 рублей;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министерства финансов и налоговой политики Новосибирской области.</w:t>
      </w:r>
    </w:p>
    <w:p>
      <w:pPr>
        <w:ind w:firstLine="709"/>
        <w:jc w:val="both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</w:rPr>
        <w:t xml:space="preserve">13. Министерство цифрового развития и связи Новосибирской области.</w:t>
      </w:r>
      <w:r>
        <w:rPr>
          <w:b/>
        </w:rPr>
      </w:r>
      <w:r>
        <w:rPr>
          <w:b/>
          <w:bCs/>
          <w:highlight w:val="none"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полномочия Новосибирской области «Материально-технического и финансового обеспечения деятельности органов государственной власти субъекта Ро</w:t>
      </w:r>
      <w:r>
        <w:t xml:space="preserve">ссийской Федерации и государственных учреждений субъекта Российской Федерации,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Федерации».</w:t>
      </w:r>
    </w:p>
    <w:p>
      <w:pPr>
        <w:ind w:firstLine="709"/>
        <w:jc w:val="both"/>
      </w:pPr>
      <w:r>
        <w:t xml:space="preserve">З</w:t>
      </w:r>
      <w:r>
        <w:t xml:space="preserve">аконом Новосибирской области </w:t>
      </w:r>
      <w:r>
        <w:t xml:space="preserve">№ 546-ОЗ министерству цифрового развития и связи Новосибирской области предусмотрены бюджетные ассигнования:</w:t>
      </w:r>
    </w:p>
    <w:p>
      <w:pPr>
        <w:ind w:firstLine="709"/>
        <w:jc w:val="both"/>
      </w:pPr>
      <w:r>
        <w:t xml:space="preserve">- на реализацию государственной программы Новосибирская области «Цифровая трансформация Новосибирской области», утвержденной постановлением Правительства Новосибирской области от 31</w:t>
      </w:r>
      <w:r>
        <w:t xml:space="preserve"> декабря </w:t>
      </w:r>
      <w:r>
        <w:t xml:space="preserve">2019 </w:t>
      </w:r>
      <w:r>
        <w:t xml:space="preserve">года </w:t>
      </w:r>
      <w:r>
        <w:t xml:space="preserve">№</w:t>
      </w:r>
      <w:r>
        <w:t xml:space="preserve"> </w:t>
      </w:r>
      <w:r>
        <w:t xml:space="preserve">515-п по направлениям расходов: </w:t>
      </w:r>
    </w:p>
    <w:p>
      <w:pPr>
        <w:ind w:firstLine="709"/>
        <w:jc w:val="both"/>
      </w:pPr>
      <w:r>
        <w:t xml:space="preserve">- финансовое обеспечение деятельности (оказания услуг) государственных учреждений (фонд оплаты труда) (наименование расходного обязательства - </w:t>
      </w:r>
      <w:r>
        <w:t xml:space="preserve">обеспечения защиты информации территориальной информационной системы Новосибирской области):</w:t>
      </w:r>
    </w:p>
    <w:p>
      <w:pPr>
        <w:ind w:firstLine="709"/>
        <w:jc w:val="both"/>
      </w:pPr>
      <w:r>
        <w:t xml:space="preserve">КБК 194 0410 2330100590 611 – 223 064 300,00 рублей на 2025 год;</w:t>
      </w:r>
    </w:p>
    <w:p>
      <w:pPr>
        <w:ind w:firstLine="709"/>
        <w:jc w:val="both"/>
      </w:pPr>
      <w:r>
        <w:t xml:space="preserve">КБК 194 0410 2330100590 611 – 254 411 600,00 рублей на 2026 год;</w:t>
      </w:r>
    </w:p>
    <w:p>
      <w:pPr>
        <w:ind w:firstLine="709"/>
        <w:jc w:val="both"/>
      </w:pPr>
      <w:r>
        <w:t xml:space="preserve">КБК 194 0410 2330100590 611 – 273 693 800,00 рублей на 2027 год.</w:t>
      </w:r>
    </w:p>
    <w:p>
      <w:pPr>
        <w:ind w:firstLine="709"/>
        <w:jc w:val="both"/>
      </w:pPr>
      <w:r>
        <w:t xml:space="preserve">- фин</w:t>
      </w:r>
      <w:r>
        <w:t xml:space="preserve">ансовое обеспечение деятельности (оказания услуг) государственных учреждений (фонд оплаты труда) (наименование расходного обязательства -обеспечение исправного и бесперебойного функционирования территориальной информационной системы Новосибирской области):</w:t>
      </w:r>
    </w:p>
    <w:p>
      <w:pPr>
        <w:ind w:firstLine="709"/>
        <w:jc w:val="both"/>
      </w:pPr>
      <w:r>
        <w:t xml:space="preserve">КБК 194 0410 2330100590 611 – 445 124 100,00 рублей на 2025 год;</w:t>
      </w:r>
    </w:p>
    <w:p>
      <w:pPr>
        <w:ind w:firstLine="709"/>
        <w:jc w:val="both"/>
      </w:pPr>
      <w:r>
        <w:t xml:space="preserve">КБК 194 0410 2330100590 611 – 507 068 800,00 рублей на 2026 год;</w:t>
      </w:r>
    </w:p>
    <w:p>
      <w:pPr>
        <w:ind w:firstLine="709"/>
        <w:jc w:val="both"/>
      </w:pPr>
      <w:r>
        <w:t xml:space="preserve">КБК 194 0410 2330100590 611 – 543 389 300,00 рублей на 2027 год.</w:t>
      </w:r>
    </w:p>
    <w:p>
      <w:pPr>
        <w:ind w:firstLine="709"/>
        <w:jc w:val="both"/>
      </w:pPr>
      <w:r>
        <w:t xml:space="preserve">- фина</w:t>
      </w:r>
      <w:r>
        <w:t xml:space="preserve">нсовое обеспечение деятельности (оказания услуг) государственных учреждений (фонд оплаты труда) (наименование расходного обязательства - обеспечение исправного и бесперебойного функционирования территориальной информационной системы Новосибирской области):</w:t>
      </w:r>
    </w:p>
    <w:p>
      <w:pPr>
        <w:ind w:firstLine="709"/>
        <w:jc w:val="both"/>
      </w:pPr>
      <w:r>
        <w:t xml:space="preserve">КБК 194 0410 2330100590 110 – 125 306 200,00 рублей на 2025 год;</w:t>
      </w:r>
    </w:p>
    <w:p>
      <w:pPr>
        <w:ind w:firstLine="709"/>
        <w:jc w:val="both"/>
      </w:pPr>
      <w:r>
        <w:t xml:space="preserve">КБК 194 0410 2330100590 110 – 142 915 500,00 рублей на 2026 год;</w:t>
      </w:r>
    </w:p>
    <w:p>
      <w:pPr>
        <w:ind w:firstLine="709"/>
        <w:jc w:val="both"/>
      </w:pPr>
      <w:r>
        <w:t xml:space="preserve">КБК 194 0410 2330100590 110 – 153 747 300,00 рублей на 2027 год.</w:t>
      </w:r>
    </w:p>
    <w:p>
      <w:pPr>
        <w:ind w:firstLine="709"/>
        <w:jc w:val="both"/>
      </w:pPr>
      <w:r>
        <w:t xml:space="preserve">- на реализацию государственной программы Новосибирская области «Построение и развитие аппаратно-программного комплекса «Безопасный город» в Новосибирской области», утвержденной постановлением Правительства Новосибирской области от 14.12.2016 № 403-п: </w:t>
      </w:r>
    </w:p>
    <w:p>
      <w:pPr>
        <w:ind w:firstLine="709"/>
        <w:jc w:val="both"/>
      </w:pPr>
      <w:r>
        <w:t xml:space="preserve">- финансовое обеспечение деятельности (оказания услуг) государственных учреждений (фонд оплаты труда) (наименование расхо</w:t>
      </w:r>
      <w:r>
        <w:t xml:space="preserve">дного обязательства - обеспечение безопасности населения и снижение социально-экономического ущерба от чрезвычайных ситуаций и происшествий путем сокращения времени реагирования экстренных оперативных служб при обращении населения по единому номеру «112»):</w:t>
      </w:r>
    </w:p>
    <w:p>
      <w:pPr>
        <w:ind w:firstLine="709"/>
        <w:jc w:val="both"/>
      </w:pPr>
      <w:r>
        <w:t xml:space="preserve">КБК 194 0310 2230100590 110 – 150 212 200,00 рублей на 2025 год;</w:t>
      </w:r>
    </w:p>
    <w:p>
      <w:pPr>
        <w:ind w:firstLine="709"/>
        <w:jc w:val="both"/>
      </w:pPr>
      <w:r>
        <w:t xml:space="preserve">КБК 194 0310 2230100590 110 – 171 321 600,00 рублей на 2026 год;</w:t>
      </w:r>
    </w:p>
    <w:p>
      <w:pPr>
        <w:ind w:firstLine="709"/>
        <w:jc w:val="both"/>
      </w:pPr>
      <w:r>
        <w:t xml:space="preserve">КБК 194 0310 2230100590 110 – 184 306 200,00 рублей 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министерства цифрового развития и связи Новосибирской области. </w:t>
      </w:r>
    </w:p>
    <w:p>
      <w:pPr>
        <w:ind w:firstLine="709"/>
        <w:jc w:val="both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</w:rPr>
        <w:t xml:space="preserve">14.</w:t>
      </w:r>
      <w:r>
        <w:rPr>
          <w:b/>
        </w:rPr>
        <w:t xml:space="preserve"> Министерство экономического развития Новосибирской области.</w:t>
      </w:r>
      <w:r>
        <w:rPr>
          <w:b/>
        </w:rPr>
      </w:r>
      <w:r>
        <w:rPr>
          <w:b/>
          <w:bCs/>
          <w:highlight w:val="none"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следующих полномочий Новосибирской области:</w:t>
      </w:r>
    </w:p>
    <w:p>
      <w:pPr>
        <w:ind w:firstLine="709"/>
        <w:jc w:val="both"/>
      </w:pPr>
      <w:r>
        <w:t xml:space="preserve">- финансовое обеспечение деятельности (оказания услуг) государственных учреждений;</w:t>
      </w:r>
    </w:p>
    <w:p>
      <w:pPr>
        <w:ind w:firstLine="709"/>
        <w:jc w:val="both"/>
      </w:pPr>
      <w:r>
        <w:t xml:space="preserve">- обеспечение функционирования многофункциональных центров Новосибирской области.</w:t>
      </w:r>
    </w:p>
    <w:p>
      <w:pPr>
        <w:ind w:firstLine="709"/>
        <w:jc w:val="both"/>
      </w:pPr>
      <w:r>
        <w:t xml:space="preserve">Законом Новосибирской области </w:t>
      </w:r>
      <w:r>
        <w:t xml:space="preserve">№ 546-ОЗ министерству экономического развития Новосибирской области предусмотрены бюджетные ассигнования на: </w:t>
      </w:r>
    </w:p>
    <w:p>
      <w:pPr>
        <w:ind w:firstLine="709"/>
        <w:jc w:val="both"/>
      </w:pPr>
      <w:r>
        <w:t xml:space="preserve">- финансовое обеспечение деятельности (оказания услуг) государственных учреждений:</w:t>
      </w:r>
    </w:p>
    <w:p>
      <w:pPr>
        <w:ind w:firstLine="709"/>
        <w:jc w:val="both"/>
      </w:pPr>
      <w:r>
        <w:t xml:space="preserve">КБК 123-0412-9900000190-110 – 41 585,0</w:t>
      </w:r>
      <w:r>
        <w:t xml:space="preserve">0</w:t>
      </w:r>
      <w:r>
        <w:t xml:space="preserve"> рублей на 2025 год;</w:t>
      </w:r>
    </w:p>
    <w:p>
      <w:pPr>
        <w:ind w:firstLine="709"/>
        <w:jc w:val="both"/>
      </w:pPr>
      <w:r>
        <w:t xml:space="preserve">КБК 123-0412-9900000190-110 – 47 327,6</w:t>
      </w:r>
      <w:r>
        <w:t xml:space="preserve">0</w:t>
      </w:r>
      <w:r>
        <w:t xml:space="preserve"> рублей на 2026 год;</w:t>
      </w:r>
    </w:p>
    <w:p>
      <w:pPr>
        <w:ind w:firstLine="709"/>
        <w:jc w:val="both"/>
      </w:pPr>
      <w:r>
        <w:t xml:space="preserve">КБК 123-0412-9900000190-110 – 50 956,3</w:t>
      </w:r>
      <w:r>
        <w:t xml:space="preserve">0</w:t>
      </w:r>
      <w:r>
        <w:t xml:space="preserve"> рублей на 2027 год.</w:t>
      </w:r>
    </w:p>
    <w:p>
      <w:pPr>
        <w:ind w:firstLine="709"/>
        <w:jc w:val="both"/>
      </w:pPr>
      <w:r>
        <w:t xml:space="preserve">- обеспечение функционирования многофункциональных центров Новосибирской области:</w:t>
      </w:r>
    </w:p>
    <w:p>
      <w:pPr>
        <w:ind w:firstLine="709"/>
        <w:jc w:val="both"/>
      </w:pPr>
      <w:r>
        <w:t xml:space="preserve">КБК 123-1006-6230104640-620 – 1 340 056,1</w:t>
      </w:r>
      <w:r>
        <w:t xml:space="preserve">0</w:t>
      </w:r>
      <w:r>
        <w:t xml:space="preserve"> рублей на 2025 год;</w:t>
      </w:r>
    </w:p>
    <w:p>
      <w:pPr>
        <w:ind w:firstLine="709"/>
        <w:jc w:val="both"/>
      </w:pPr>
      <w:r>
        <w:t xml:space="preserve">КБК 123-1006-6230104640-620 – 1 495 383,3</w:t>
      </w:r>
      <w:r>
        <w:t xml:space="preserve">0</w:t>
      </w:r>
      <w:r>
        <w:t xml:space="preserve"> рублей на 2026 год;</w:t>
      </w:r>
    </w:p>
    <w:p>
      <w:pPr>
        <w:ind w:firstLine="709"/>
        <w:jc w:val="both"/>
      </w:pPr>
      <w:r>
        <w:t xml:space="preserve">КБК 123-1006-6230104640-620 – 1 599 283,7</w:t>
      </w:r>
      <w:r>
        <w:t xml:space="preserve">0</w:t>
      </w:r>
      <w:r>
        <w:t xml:space="preserve"> рублей 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министерства экономического развития Новосибирской области. </w:t>
      </w:r>
    </w:p>
    <w:p>
      <w:pPr>
        <w:ind w:firstLine="709"/>
        <w:jc w:val="both"/>
      </w:pPr>
    </w:p>
    <w:p>
      <w:pPr>
        <w:ind w:firstLine="709"/>
        <w:jc w:val="both"/>
        <w:rPr>
          <w:b/>
        </w:rPr>
      </w:pPr>
      <w:r>
        <w:rPr>
          <w:b/>
        </w:rPr>
        <w:t xml:space="preserve">15.</w:t>
      </w:r>
      <w:r>
        <w:rPr>
          <w:b/>
        </w:rPr>
        <w:t xml:space="preserve"> Министерство юстиции Новосибирской области.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полномочия Новосибирской области по обеспечению граждан бесплатной юридической помощью и правовому просвещению населения.</w:t>
      </w:r>
    </w:p>
    <w:p>
      <w:pPr>
        <w:ind w:firstLine="709"/>
        <w:jc w:val="both"/>
      </w:pPr>
      <w:r>
        <w:t xml:space="preserve">Законом Новосибирской области </w:t>
      </w:r>
      <w:r>
        <w:t xml:space="preserve">№ 546-ОЗ министерству юстиции Новосибирской области предусмотрены бюджетные ассигнования на: </w:t>
      </w:r>
    </w:p>
    <w:p>
      <w:pPr>
        <w:ind w:firstLine="709"/>
        <w:jc w:val="both"/>
      </w:pPr>
      <w:r>
        <w:t xml:space="preserve">- финансовое обеспечение деятельности государственного учреждения: </w:t>
      </w:r>
    </w:p>
    <w:p>
      <w:pPr>
        <w:ind w:firstLine="709"/>
        <w:jc w:val="both"/>
      </w:pPr>
      <w:r>
        <w:t xml:space="preserve">КБК 20501130530100590 – 31 060 300,00 рублей на 2025 год;</w:t>
      </w:r>
    </w:p>
    <w:p>
      <w:pPr>
        <w:ind w:firstLine="709"/>
        <w:jc w:val="both"/>
      </w:pPr>
      <w:r>
        <w:t xml:space="preserve">КБК 20501130530100590 – 33 023 600,00 рублей на 2026 год;</w:t>
      </w:r>
    </w:p>
    <w:p>
      <w:pPr>
        <w:ind w:firstLine="709"/>
        <w:jc w:val="both"/>
      </w:pPr>
      <w:r>
        <w:t xml:space="preserve">КБК 20501130530100590 – 35 229 900,00 рублей на 2027 год.</w:t>
      </w:r>
    </w:p>
    <w:p>
      <w:pPr>
        <w:ind w:firstLine="709"/>
        <w:jc w:val="both"/>
      </w:pPr>
      <w:r>
        <w:t xml:space="preserve">в т.ч. расходы на выплаты персоналу казенных учреждений:</w:t>
      </w:r>
    </w:p>
    <w:p>
      <w:pPr>
        <w:ind w:firstLine="709"/>
        <w:jc w:val="both"/>
      </w:pPr>
      <w:r>
        <w:t xml:space="preserve">КБК 20501130530100590 – 25 522 200,00 рублей на 2025 год;</w:t>
      </w:r>
    </w:p>
    <w:p>
      <w:pPr>
        <w:ind w:firstLine="709"/>
        <w:jc w:val="both"/>
      </w:pPr>
      <w:r>
        <w:t xml:space="preserve">КБК 20501130530100590 – 29 108 800,00 рублей на 2026 год;</w:t>
      </w:r>
    </w:p>
    <w:p>
      <w:pPr>
        <w:ind w:firstLine="709"/>
        <w:jc w:val="both"/>
      </w:pPr>
      <w:r>
        <w:t xml:space="preserve">КБК 20501130530100590 – 31 315 100,00 рублей 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министерства юстиции Новосибирской области. </w:t>
      </w:r>
    </w:p>
    <w:p>
      <w:pPr>
        <w:pStyle w:val="905"/>
        <w:widowControl w:val="off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</w:p>
    <w:p>
      <w:pPr>
        <w:ind w:firstLine="709"/>
        <w:jc w:val="both"/>
        <w:rPr>
          <w:b/>
        </w:rPr>
      </w:pPr>
      <w:r>
        <w:rPr>
          <w:b/>
        </w:rPr>
        <w:t xml:space="preserve">16. Департамент имущества и земельных отношений Новосибирской области.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полномочия Новосибирской области «владение, пользование и распоряжение государственной со</w:t>
      </w:r>
      <w:r>
        <w:t xml:space="preserve">бственностью, в том числе», «обеспечение функционирования государственного бюджетного учреждения по государственной кадастровой оценке в соответствии с частью 2 статьи 6 Федерального закона от 3 июля 2016 г. № 237-ФЗ «О государственной кадастровой оценке».</w:t>
      </w:r>
      <w:r>
        <w:tab/>
        <w:t xml:space="preserve"> </w:t>
      </w:r>
    </w:p>
    <w:p>
      <w:pPr>
        <w:ind w:firstLine="709"/>
        <w:jc w:val="both"/>
      </w:pPr>
      <w:r>
        <w:t xml:space="preserve">Законом Новосибирской област</w:t>
      </w:r>
      <w:r>
        <w:t xml:space="preserve">и </w:t>
      </w:r>
      <w:r>
        <w:t xml:space="preserve">№ 546-ОЗ департаменту имущества и земельных отношений Новосибирской области предусмотрены бюджетные ассигнования на: </w:t>
      </w:r>
    </w:p>
    <w:p>
      <w:pPr>
        <w:ind w:firstLine="709"/>
        <w:jc w:val="both"/>
      </w:pPr>
      <w:r>
        <w:t xml:space="preserve">- содержание и обеспечение деятельности государственного учреждения:</w:t>
      </w:r>
    </w:p>
    <w:p>
      <w:pPr>
        <w:ind w:firstLine="709"/>
        <w:jc w:val="both"/>
      </w:pPr>
      <w:r>
        <w:t xml:space="preserve">КБК 12001139900000590110 – 64 058 800,00 рублей на 2025 год;</w:t>
      </w:r>
    </w:p>
    <w:p>
      <w:pPr>
        <w:ind w:firstLine="709"/>
        <w:jc w:val="both"/>
      </w:pPr>
      <w:r>
        <w:t xml:space="preserve">КБК 12001139900000590110 – 73 042 400,00 рублей на 2026 год;</w:t>
      </w:r>
    </w:p>
    <w:p>
      <w:pPr>
        <w:ind w:firstLine="709"/>
        <w:jc w:val="both"/>
      </w:pPr>
      <w:r>
        <w:t xml:space="preserve">КБК 12001139900000590110 – 78 570 800,00 рублей на 2027 год.</w:t>
      </w:r>
    </w:p>
    <w:p>
      <w:pPr>
        <w:ind w:firstLine="709"/>
        <w:jc w:val="both"/>
      </w:pPr>
      <w:r>
        <w:t xml:space="preserve">- субсидии бюджетным учреждениям на финансовое обеспечение государственного (муниципального) задания на оказание государственных (муниципальных) услуг:</w:t>
      </w:r>
    </w:p>
    <w:p>
      <w:pPr>
        <w:ind w:firstLine="709"/>
        <w:jc w:val="both"/>
      </w:pPr>
      <w:r>
        <w:t xml:space="preserve">КБК 12001139900008230610 – 110 435 400,00 рублей на 2025 год;</w:t>
      </w:r>
    </w:p>
    <w:p>
      <w:pPr>
        <w:ind w:firstLine="709"/>
        <w:jc w:val="both"/>
      </w:pPr>
      <w:r>
        <w:t xml:space="preserve">КБК 12001139900008230610 – 120 301 000,00 рублей на 2026 год;</w:t>
      </w:r>
    </w:p>
    <w:p>
      <w:pPr>
        <w:ind w:firstLine="709"/>
        <w:jc w:val="both"/>
      </w:pPr>
      <w:r>
        <w:t xml:space="preserve">КБК 12001139900008230610 – 126 369 500,00 рублей 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департамента имущества и земельных отношений Новосибирской области.</w:t>
      </w:r>
    </w:p>
    <w:p>
      <w:pPr>
        <w:ind w:firstLine="709"/>
        <w:jc w:val="both"/>
      </w:pPr>
    </w:p>
    <w:p>
      <w:pPr>
        <w:ind w:firstLine="709"/>
        <w:jc w:val="both"/>
        <w:rPr>
          <w:b/>
        </w:rPr>
      </w:pPr>
      <w:r>
        <w:rPr>
          <w:b/>
        </w:rPr>
        <w:t xml:space="preserve">17.</w:t>
      </w:r>
      <w:r>
        <w:rPr>
          <w:b/>
        </w:rPr>
        <w:t xml:space="preserve"> Департамент молодежной политики Новосибирской области.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полномочия Новосибирской области обеспечение функций органов государственной власти, обеспечение деятельности подведомственного учреждения ГБУ НСО «АПМИ».</w:t>
      </w:r>
    </w:p>
    <w:p>
      <w:pPr>
        <w:ind w:firstLine="709"/>
        <w:jc w:val="both"/>
      </w:pPr>
      <w:r>
        <w:t xml:space="preserve">Законом Новосибирской области </w:t>
      </w:r>
      <w:r>
        <w:t xml:space="preserve">№ 546-ОЗ департаменту молодежной политики Новосибирской области предусмотрены бюджетные ассигнования на:</w:t>
      </w:r>
    </w:p>
    <w:p>
      <w:pPr>
        <w:ind w:firstLine="709"/>
        <w:jc w:val="both"/>
      </w:pPr>
      <w:r>
        <w:t xml:space="preserve">- государственная программа Новосибирской области «Развитие государственной молодежной политики Новосибирской области»:</w:t>
      </w:r>
    </w:p>
    <w:p>
      <w:pPr>
        <w:ind w:firstLine="709"/>
        <w:jc w:val="both"/>
      </w:pPr>
      <w:r>
        <w:t xml:space="preserve">КБК 015 0707 1900000000 – 418 165 184,83 рублей на 2025 год;</w:t>
      </w:r>
    </w:p>
    <w:p>
      <w:pPr>
        <w:ind w:firstLine="709"/>
        <w:jc w:val="both"/>
      </w:pPr>
      <w:r>
        <w:t xml:space="preserve">КБК 015 0707 1900000000 – 338 098</w:t>
      </w:r>
      <w:r>
        <w:t xml:space="preserve"> </w:t>
      </w:r>
      <w:r>
        <w:t xml:space="preserve">139</w:t>
      </w:r>
      <w:r>
        <w:t xml:space="preserve">,00</w:t>
      </w:r>
      <w:r>
        <w:t xml:space="preserve"> рублей на 2026 год;</w:t>
      </w:r>
    </w:p>
    <w:p>
      <w:pPr>
        <w:ind w:firstLine="709"/>
        <w:jc w:val="both"/>
      </w:pPr>
      <w:r>
        <w:t xml:space="preserve">КБК 015 0707 1900000000 – 349 046</w:t>
      </w:r>
      <w:r>
        <w:t xml:space="preserve"> </w:t>
      </w:r>
      <w:r>
        <w:t xml:space="preserve">239</w:t>
      </w:r>
      <w:r>
        <w:t xml:space="preserve">,00</w:t>
      </w:r>
      <w:r>
        <w:t xml:space="preserve"> рублей на 2027 год.</w:t>
      </w:r>
    </w:p>
    <w:p>
      <w:pPr>
        <w:ind w:firstLine="709"/>
        <w:jc w:val="both"/>
      </w:pPr>
      <w:r>
        <w:t xml:space="preserve">- государственная программа Новосибирской области «Развитие институтов региональной политики и гражданского общества в Новосибирской области»:</w:t>
      </w:r>
    </w:p>
    <w:p>
      <w:pPr>
        <w:ind w:firstLine="709"/>
        <w:jc w:val="both"/>
      </w:pPr>
      <w:r>
        <w:t xml:space="preserve">КБК 015 0709 1630404570 – 3 778</w:t>
      </w:r>
      <w:r>
        <w:t xml:space="preserve"> </w:t>
      </w:r>
      <w:r>
        <w:t xml:space="preserve">300</w:t>
      </w:r>
      <w:r>
        <w:t xml:space="preserve">,00</w:t>
      </w:r>
      <w:r>
        <w:t xml:space="preserve"> рублей на 2025 год;</w:t>
      </w:r>
    </w:p>
    <w:p>
      <w:pPr>
        <w:ind w:firstLine="709"/>
        <w:jc w:val="both"/>
      </w:pPr>
      <w:r>
        <w:t xml:space="preserve">КБК 015 0709 1630404570 – 1 313</w:t>
      </w:r>
      <w:r>
        <w:t xml:space="preserve"> </w:t>
      </w:r>
      <w:r>
        <w:t xml:space="preserve">800</w:t>
      </w:r>
      <w:r>
        <w:t xml:space="preserve">,00</w:t>
      </w:r>
      <w:r>
        <w:t xml:space="preserve"> рублей на 2026 год;</w:t>
      </w:r>
    </w:p>
    <w:p>
      <w:pPr>
        <w:ind w:firstLine="709"/>
        <w:jc w:val="both"/>
      </w:pPr>
      <w:r>
        <w:t xml:space="preserve">КБК 015 0709 1630404570 – 1 313</w:t>
      </w:r>
      <w:r>
        <w:t xml:space="preserve"> </w:t>
      </w:r>
      <w:r>
        <w:t xml:space="preserve">800</w:t>
      </w:r>
      <w:r>
        <w:t xml:space="preserve">,00</w:t>
      </w:r>
      <w:r>
        <w:t xml:space="preserve"> рублей на 2027 год.</w:t>
      </w:r>
    </w:p>
    <w:p>
      <w:pPr>
        <w:ind w:firstLine="709"/>
        <w:jc w:val="both"/>
      </w:pPr>
      <w:r>
        <w:t xml:space="preserve">- финансовое обеспечение функций органов государственной власти и государственных органов:</w:t>
      </w:r>
    </w:p>
    <w:p>
      <w:pPr>
        <w:ind w:firstLine="709"/>
        <w:jc w:val="both"/>
      </w:pPr>
      <w:r>
        <w:t xml:space="preserve">КБК 015 0709 9900000190 – 41 873</w:t>
      </w:r>
      <w:r>
        <w:t xml:space="preserve"> </w:t>
      </w:r>
      <w:r>
        <w:t xml:space="preserve">800</w:t>
      </w:r>
      <w:r>
        <w:t xml:space="preserve">,00</w:t>
      </w:r>
      <w:r>
        <w:t xml:space="preserve"> рублей на 2025 год;</w:t>
      </w:r>
    </w:p>
    <w:p>
      <w:pPr>
        <w:ind w:firstLine="709"/>
        <w:jc w:val="both"/>
      </w:pPr>
      <w:r>
        <w:t xml:space="preserve">КБК 015 0709 9900000190 – 41 873</w:t>
      </w:r>
      <w:r>
        <w:t xml:space="preserve"> </w:t>
      </w:r>
      <w:r>
        <w:t xml:space="preserve">800</w:t>
      </w:r>
      <w:r>
        <w:t xml:space="preserve">,00</w:t>
      </w:r>
      <w:r>
        <w:t xml:space="preserve"> рублей на 2026 год;</w:t>
      </w:r>
    </w:p>
    <w:p>
      <w:pPr>
        <w:ind w:firstLine="709"/>
        <w:jc w:val="both"/>
      </w:pPr>
      <w:r>
        <w:t xml:space="preserve">КБК 015 0709 9900000190 – 41 873</w:t>
      </w:r>
      <w:r>
        <w:t xml:space="preserve"> </w:t>
      </w:r>
      <w:r>
        <w:t xml:space="preserve">800</w:t>
      </w:r>
      <w:r>
        <w:t xml:space="preserve">,00</w:t>
      </w:r>
      <w:r>
        <w:t xml:space="preserve"> рублей 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департамента молодежной политики Новосибирской области.</w:t>
      </w:r>
    </w:p>
    <w:p>
      <w:pPr>
        <w:ind w:firstLine="709"/>
        <w:jc w:val="both"/>
      </w:pPr>
    </w:p>
    <w:p>
      <w:pPr>
        <w:ind w:firstLine="709"/>
        <w:jc w:val="both"/>
        <w:rPr>
          <w:b/>
        </w:rPr>
      </w:pPr>
      <w:r>
        <w:rPr>
          <w:b/>
        </w:rPr>
        <w:t xml:space="preserve">18.</w:t>
      </w:r>
      <w:r>
        <w:rPr>
          <w:b/>
        </w:rPr>
        <w:t xml:space="preserve"> Управление ветеринарии Новосибирской области.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полномочия Новосибирской области оказание услуг государственными бюджетными учреждениями в сфере ветеринарии.</w:t>
      </w:r>
    </w:p>
    <w:p>
      <w:pPr>
        <w:ind w:firstLine="709"/>
        <w:jc w:val="both"/>
      </w:pPr>
      <w:r>
        <w:t xml:space="preserve">Законом Новосибирской области </w:t>
      </w:r>
      <w:r>
        <w:t xml:space="preserve">№ 546-ОЗ управлению ветеринарии Новосибирской области предусмотрены бюджетные ассигнования на: </w:t>
      </w:r>
    </w:p>
    <w:p>
      <w:pPr>
        <w:ind w:firstLine="709"/>
        <w:jc w:val="both"/>
      </w:pPr>
      <w:r>
        <w:t xml:space="preserve">оказание услуг государственными бюджетными учреждениями в сфере ветеринарии:</w:t>
      </w:r>
    </w:p>
    <w:p>
      <w:pPr>
        <w:ind w:firstLine="709"/>
        <w:jc w:val="both"/>
      </w:pPr>
      <w:r>
        <w:t xml:space="preserve">КБК 111 0405 2130203560 610 – 1 162 313 800,00 рублей на 2025 год;</w:t>
      </w:r>
    </w:p>
    <w:p>
      <w:pPr>
        <w:ind w:firstLine="709"/>
        <w:jc w:val="both"/>
      </w:pPr>
      <w:r>
        <w:t xml:space="preserve">КБК 111 0405 2130203560 610 – 1 353 881 800,00 рублей на 2026 год;</w:t>
      </w:r>
    </w:p>
    <w:p>
      <w:pPr>
        <w:ind w:firstLine="709"/>
        <w:jc w:val="both"/>
      </w:pPr>
      <w:r>
        <w:t xml:space="preserve">КБК 111 0405 2130203560 610 – 1 445 921 400,00 рублей на 2027 год.</w:t>
      </w:r>
    </w:p>
    <w:p>
      <w:pPr>
        <w:ind w:firstLine="709"/>
        <w:jc w:val="both"/>
        <w:rPr>
          <w:highlight w:val="none"/>
        </w:rPr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управления ветеринарии Новосибирской области. </w:t>
      </w:r>
      <w:r>
        <w:rPr>
          <w:highlight w:val="none"/>
        </w:rPr>
      </w:r>
    </w:p>
    <w:p>
      <w:pPr>
        <w:ind w:firstLine="709"/>
        <w:jc w:val="both"/>
      </w:pPr>
    </w:p>
    <w:p>
      <w:pPr>
        <w:ind w:firstLine="709"/>
        <w:jc w:val="both"/>
        <w:rPr>
          <w:b/>
        </w:rPr>
      </w:pPr>
      <w:r>
        <w:rPr>
          <w:b/>
        </w:rPr>
        <w:t xml:space="preserve">19. Управление государственной архивной службы Новосибирской области.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полномочия Новосибирской области организации архивного дела в субъекте Российской Федерации.</w:t>
      </w:r>
    </w:p>
    <w:p>
      <w:pPr>
        <w:ind w:firstLine="709"/>
        <w:jc w:val="both"/>
      </w:pPr>
      <w:r>
        <w:t xml:space="preserve">Законом Новосибирской области </w:t>
      </w:r>
      <w:r>
        <w:t xml:space="preserve">№ 546-ОЗ управлению государственной архивной службы Новосибирской области предусмотрены бюджетные ассигнования на:</w:t>
      </w:r>
    </w:p>
    <w:p>
      <w:pPr>
        <w:ind w:firstLine="709"/>
        <w:jc w:val="both"/>
      </w:pPr>
      <w:r>
        <w:t xml:space="preserve">- осуществление деятельности подведомственных учреждений: </w:t>
      </w:r>
    </w:p>
    <w:p>
      <w:pPr>
        <w:ind w:firstLine="709"/>
        <w:jc w:val="both"/>
      </w:pPr>
      <w:r>
        <w:t xml:space="preserve">КБК 04601134630100590 – 86 651 100,00 рублей на 2025 год;</w:t>
      </w:r>
    </w:p>
    <w:p>
      <w:pPr>
        <w:ind w:firstLine="709"/>
        <w:jc w:val="both"/>
      </w:pPr>
      <w:r>
        <w:t xml:space="preserve">КБК 04601134630100590 – 98 828 200,00 рублей на 2026 год;</w:t>
      </w:r>
    </w:p>
    <w:p>
      <w:pPr>
        <w:ind w:firstLine="709"/>
        <w:jc w:val="both"/>
      </w:pPr>
      <w:r>
        <w:t xml:space="preserve">КБК 04601134630100590 – 106 318 600,00 рублей 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управления государственной архивной службы Новосибирской области. </w:t>
      </w:r>
    </w:p>
    <w:p>
      <w:pPr>
        <w:ind w:firstLine="709"/>
        <w:jc w:val="both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</w:rPr>
        <w:t xml:space="preserve">20.</w:t>
      </w:r>
      <w:r>
        <w:rPr>
          <w:b/>
        </w:rPr>
        <w:t xml:space="preserve"> Управление делами Губернатора Новосибирской области и Правительства Новосибирской области.</w:t>
      </w:r>
      <w:r>
        <w:rPr>
          <w:b/>
        </w:rPr>
      </w:r>
      <w:r>
        <w:rPr>
          <w:b/>
          <w:bCs/>
          <w:highlight w:val="none"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следующих полномочий Новосибирской области: </w:t>
      </w:r>
    </w:p>
    <w:p>
      <w:pPr>
        <w:ind w:firstLine="709"/>
        <w:jc w:val="both"/>
      </w:pPr>
      <w:r>
        <w:t xml:space="preserve">- материально-техническое и финансовое обеспечение деятельности органов государственной власти субъекта Российской Федерации, в том числе вопросов оплаты труда работников органов государственной власти субъекта Российской Федерации;</w:t>
      </w:r>
    </w:p>
    <w:p>
      <w:pPr>
        <w:ind w:firstLine="709"/>
        <w:jc w:val="both"/>
      </w:pPr>
      <w:r>
        <w:t xml:space="preserve">- организация профессионального образования и </w:t>
      </w:r>
      <w:r>
        <w:t xml:space="preserve">дополнительного профессионального образования лиц, замещающих государственные должности субъекта Российской Федерации, государственных гражданских служащих субъекта Российской Федерации и работников государственных учреждений субъекта Российской Федерации;</w:t>
      </w:r>
    </w:p>
    <w:p>
      <w:pPr>
        <w:ind w:firstLine="709"/>
        <w:jc w:val="both"/>
      </w:pPr>
      <w:r>
        <w:t xml:space="preserve">- полномочия в сфере закупок товаров, работ, услуг для обеспеч</w:t>
      </w:r>
      <w:r>
        <w:t xml:space="preserve">ения государственных нужд – часть 3 статьи 2, часть 3 статьи 26, части 1, 2 и 4 статьи 111.4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>
      <w:pPr>
        <w:ind w:firstLine="709"/>
        <w:jc w:val="both"/>
      </w:pPr>
      <w:r>
        <w:t xml:space="preserve">Законом Новосибирской области </w:t>
      </w:r>
      <w:r>
        <w:t xml:space="preserve">№ 546-ОЗ управлению делами Губернатора Новосибирской области и Правительства Новосибирской области предусмотрены бюджетные ассигнования на: </w:t>
      </w:r>
    </w:p>
    <w:p>
      <w:pPr>
        <w:ind w:firstLine="709"/>
        <w:jc w:val="both"/>
      </w:pPr>
      <w:r>
        <w:t xml:space="preserve">- содержание и обеспечение деятельности казенных учреждений Новосибирской области:</w:t>
      </w:r>
    </w:p>
    <w:p>
      <w:pPr>
        <w:ind w:firstLine="709"/>
        <w:jc w:val="both"/>
      </w:pPr>
      <w:r>
        <w:t xml:space="preserve">КБК 006 0113 9900000590 110 – 393 201 400,00 рублей на 2025 год;</w:t>
      </w:r>
    </w:p>
    <w:p>
      <w:pPr>
        <w:ind w:firstLine="709"/>
        <w:jc w:val="both"/>
      </w:pPr>
      <w:r>
        <w:t xml:space="preserve">КБК 006 0113 9900000590 110 – 446 949 300,00 рублей на 2026 год;</w:t>
      </w:r>
    </w:p>
    <w:p>
      <w:pPr>
        <w:ind w:firstLine="709"/>
        <w:jc w:val="both"/>
      </w:pPr>
      <w:r>
        <w:t xml:space="preserve">КБК 006 0113 9900000590 110 – 480 826 400,00 рублей на 2027 год.</w:t>
      </w:r>
    </w:p>
    <w:p>
      <w:pPr>
        <w:ind w:firstLine="709"/>
        <w:jc w:val="both"/>
      </w:pPr>
      <w:r>
        <w:t xml:space="preserve">- профессиональная подготовка, переподготовка и повышение квалификации</w:t>
      </w:r>
      <w:r>
        <w:t xml:space="preserve">:</w:t>
      </w:r>
    </w:p>
    <w:p>
      <w:pPr>
        <w:ind w:firstLine="709"/>
        <w:jc w:val="both"/>
      </w:pPr>
      <w:r>
        <w:t xml:space="preserve">КБК 006 0709 9900000590 621- 144 116 900,00 рублей на 2025 год;</w:t>
      </w:r>
    </w:p>
    <w:p>
      <w:pPr>
        <w:ind w:firstLine="709"/>
        <w:jc w:val="both"/>
      </w:pPr>
      <w:r>
        <w:t xml:space="preserve">КБК 006 0709 9900000590 621– 159 092 500,00 рублей на 2026 год;</w:t>
      </w:r>
    </w:p>
    <w:p>
      <w:pPr>
        <w:ind w:firstLine="709"/>
        <w:jc w:val="both"/>
      </w:pPr>
      <w:r>
        <w:t xml:space="preserve">КБК 006 0709 9900000590 621 – 168 304 200,00 рублей на 2027 год.</w:t>
      </w:r>
    </w:p>
    <w:p>
      <w:pPr>
        <w:ind w:firstLine="709"/>
        <w:jc w:val="both"/>
      </w:pPr>
      <w:r>
        <w:t xml:space="preserve">- содержание и обеспечение деятельности бюджетных учреждений Новосибирской области:</w:t>
      </w:r>
    </w:p>
    <w:p>
      <w:pPr>
        <w:ind w:firstLine="709"/>
        <w:jc w:val="both"/>
      </w:pPr>
      <w:r>
        <w:tab/>
        <w:t xml:space="preserve">КБК 006 0113 9900000590 611 – 329 210 100,00 рублей на 2025 год;</w:t>
      </w:r>
    </w:p>
    <w:p>
      <w:pPr>
        <w:ind w:firstLine="709"/>
        <w:jc w:val="both"/>
      </w:pPr>
      <w:r>
        <w:t xml:space="preserve">КБК 006 0113 9900000590 611– 365 109 400,00 рублей на 2026 год;</w:t>
      </w:r>
    </w:p>
    <w:p>
      <w:pPr>
        <w:ind w:firstLine="709"/>
        <w:jc w:val="both"/>
      </w:pPr>
      <w:r>
        <w:t xml:space="preserve">КБК 006 0113 9900000590 611 – 387 191 500,00 рублей 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управления делами Губернатора Новосибирской области и Правительства Новосибирской области.</w:t>
      </w:r>
    </w:p>
    <w:p>
      <w:pPr>
        <w:ind w:firstLine="709"/>
        <w:jc w:val="both"/>
      </w:pP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b/>
        </w:rPr>
      </w:pPr>
      <w:r>
        <w:rPr>
          <w:b/>
        </w:rPr>
        <w:t xml:space="preserve">21. Управление информационных проектов Новосибирской области</w:t>
      </w:r>
      <w:r>
        <w:rPr>
          <w:b/>
        </w:rPr>
        <w:t xml:space="preserve">.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Реализация про</w:t>
      </w:r>
      <w:r>
        <w:t xml:space="preserve">екта закона будет осуществляться в рамк</w:t>
      </w:r>
      <w:r>
        <w:t xml:space="preserve">ах полномочий Новосибирской области </w:t>
      </w:r>
      <w:r>
        <w:t xml:space="preserve">обеспечения реализации государственной информационной политики и исполнительно-распорядительной деятельности в установленной сфере в соответствии с федеральным законодательством и законодательством Новосибирской области.</w:t>
      </w:r>
    </w:p>
    <w:p>
      <w:pPr>
        <w:ind w:firstLine="709"/>
        <w:jc w:val="both"/>
      </w:pPr>
      <w:r>
        <w:t xml:space="preserve">Законом Новосибирской области </w:t>
      </w:r>
      <w:r>
        <w:t xml:space="preserve">№ 46-ОЗ управлению информационных проектов Новосибирской области предусмотрены бюджетные ассигнования на: </w:t>
      </w:r>
    </w:p>
    <w:p>
      <w:pPr>
        <w:ind w:firstLine="709"/>
        <w:jc w:val="both"/>
      </w:pPr>
      <w:r>
        <w:t xml:space="preserve">- предоставление субсидий бюджетным, автономным учреждениям, осуществляющим информационное освещение социально-экономического развития и деятельности органов государственной власти:</w:t>
      </w:r>
    </w:p>
    <w:p>
      <w:pPr>
        <w:ind w:firstLine="709"/>
        <w:jc w:val="both"/>
      </w:pPr>
      <w:r>
        <w:t xml:space="preserve">КБК 143 1201 99.0.00.98703 610 – 189</w:t>
      </w:r>
      <w:r>
        <w:t xml:space="preserve"> </w:t>
      </w:r>
      <w:r>
        <w:t xml:space="preserve">374</w:t>
      </w:r>
      <w:r>
        <w:t xml:space="preserve"> 200,00</w:t>
      </w:r>
      <w:r>
        <w:t xml:space="preserve"> руб</w:t>
      </w:r>
      <w:r>
        <w:t xml:space="preserve">лей</w:t>
      </w:r>
      <w:r>
        <w:t xml:space="preserve"> на 2025 год;</w:t>
      </w:r>
    </w:p>
    <w:p>
      <w:pPr>
        <w:ind w:firstLine="709"/>
        <w:jc w:val="both"/>
      </w:pPr>
      <w:r>
        <w:t xml:space="preserve">КБК 143 1201 99.0.00.98703 610 – 211</w:t>
      </w:r>
      <w:r>
        <w:t xml:space="preserve"> </w:t>
      </w:r>
      <w:r>
        <w:t xml:space="preserve">069</w:t>
      </w:r>
      <w:r>
        <w:t xml:space="preserve"> 400,00</w:t>
      </w:r>
      <w:r>
        <w:t xml:space="preserve"> </w:t>
      </w:r>
      <w:r>
        <w:t xml:space="preserve">рублей </w:t>
      </w:r>
      <w:r>
        <w:t xml:space="preserve">на 2026 год;</w:t>
      </w:r>
    </w:p>
    <w:p>
      <w:pPr>
        <w:ind w:firstLine="709"/>
        <w:jc w:val="both"/>
      </w:pPr>
      <w:r>
        <w:t xml:space="preserve">КБК 143 1</w:t>
      </w:r>
      <w:r>
        <w:t xml:space="preserve">201 99.0.00.98703 610 – 224 414 200,00</w:t>
      </w:r>
      <w:r>
        <w:t xml:space="preserve"> </w:t>
      </w:r>
      <w:r>
        <w:t xml:space="preserve">рублей </w:t>
      </w:r>
      <w:r>
        <w:t xml:space="preserve">на 2027 год;</w:t>
      </w:r>
    </w:p>
    <w:p>
      <w:pPr>
        <w:ind w:firstLine="709"/>
        <w:jc w:val="both"/>
      </w:pPr>
      <w:r>
        <w:t xml:space="preserve">КБК 143 1202 99.0.00.98703 610 – 49</w:t>
      </w:r>
      <w:r>
        <w:t xml:space="preserve"> </w:t>
      </w:r>
      <w:r>
        <w:t xml:space="preserve">775</w:t>
      </w:r>
      <w:r>
        <w:t xml:space="preserve"> </w:t>
      </w:r>
      <w:r>
        <w:t xml:space="preserve">6</w:t>
      </w:r>
      <w:r>
        <w:t xml:space="preserve">00,00</w:t>
      </w:r>
      <w:r>
        <w:t xml:space="preserve"> </w:t>
      </w:r>
      <w:r>
        <w:t xml:space="preserve">рублей </w:t>
      </w:r>
      <w:r>
        <w:t xml:space="preserve">на 2025 год;</w:t>
      </w:r>
    </w:p>
    <w:p>
      <w:pPr>
        <w:ind w:firstLine="709"/>
        <w:jc w:val="both"/>
      </w:pPr>
      <w:r>
        <w:t xml:space="preserve">КБК 143 1202 99.0.00.98703 610 – 54</w:t>
      </w:r>
      <w:r>
        <w:t xml:space="preserve"> </w:t>
      </w:r>
      <w:r>
        <w:t xml:space="preserve">902</w:t>
      </w:r>
      <w:r>
        <w:t xml:space="preserve"> </w:t>
      </w:r>
      <w:r>
        <w:t xml:space="preserve">9</w:t>
      </w:r>
      <w:r>
        <w:t xml:space="preserve">00,00</w:t>
      </w:r>
      <w:r>
        <w:t xml:space="preserve"> </w:t>
      </w:r>
      <w:r>
        <w:t xml:space="preserve">рублей </w:t>
      </w:r>
      <w:r>
        <w:t xml:space="preserve">на 2026 год;</w:t>
      </w:r>
    </w:p>
    <w:p>
      <w:pPr>
        <w:ind w:firstLine="709"/>
        <w:jc w:val="both"/>
      </w:pPr>
      <w:r>
        <w:t xml:space="preserve">КБК 143 1202 99.0.00.98703 610 –</w:t>
      </w:r>
      <w:r>
        <w:t xml:space="preserve"> 58 003 </w:t>
      </w:r>
      <w:r>
        <w:t xml:space="preserve">0</w:t>
      </w:r>
      <w:r>
        <w:t xml:space="preserve">00,00</w:t>
      </w:r>
      <w:r>
        <w:t xml:space="preserve"> </w:t>
      </w:r>
      <w:r>
        <w:t xml:space="preserve">рублей </w:t>
      </w:r>
      <w:r>
        <w:t xml:space="preserve">на 2027 год;</w:t>
      </w:r>
    </w:p>
    <w:p>
      <w:pPr>
        <w:ind w:firstLine="709"/>
        <w:jc w:val="both"/>
      </w:pPr>
      <w:r>
        <w:t xml:space="preserve">КБК 143 1</w:t>
      </w:r>
      <w:r>
        <w:t xml:space="preserve">202 99.0.00.98703 620 – 165 170 </w:t>
      </w:r>
      <w:r>
        <w:t xml:space="preserve">9</w:t>
      </w:r>
      <w:r>
        <w:t xml:space="preserve">00,00</w:t>
      </w:r>
      <w:r>
        <w:t xml:space="preserve"> </w:t>
      </w:r>
      <w:r>
        <w:t xml:space="preserve">рублей </w:t>
      </w:r>
      <w:r>
        <w:t xml:space="preserve">на 2025 год;</w:t>
      </w:r>
    </w:p>
    <w:p>
      <w:pPr>
        <w:ind w:firstLine="709"/>
        <w:jc w:val="both"/>
      </w:pPr>
      <w:r>
        <w:t xml:space="preserve">КБК 143 1</w:t>
      </w:r>
      <w:r>
        <w:t xml:space="preserve">202 99.0.00.98703 620 – 181 858 </w:t>
      </w:r>
      <w:r>
        <w:t xml:space="preserve">7</w:t>
      </w:r>
      <w:r>
        <w:t xml:space="preserve">00,00</w:t>
      </w:r>
      <w:r>
        <w:t xml:space="preserve"> </w:t>
      </w:r>
      <w:r>
        <w:t xml:space="preserve">рублей </w:t>
      </w:r>
      <w:r>
        <w:t xml:space="preserve">на 2026 год;</w:t>
      </w:r>
    </w:p>
    <w:p>
      <w:pPr>
        <w:ind w:firstLine="709"/>
        <w:jc w:val="both"/>
      </w:pPr>
      <w:r>
        <w:t xml:space="preserve">КБК 143 1</w:t>
      </w:r>
      <w:r>
        <w:t xml:space="preserve">202 99.0.00.98703 620 – 192 177 </w:t>
      </w:r>
      <w:r>
        <w:t xml:space="preserve">4</w:t>
      </w:r>
      <w:r>
        <w:t xml:space="preserve">00,00</w:t>
      </w:r>
      <w:r>
        <w:t xml:space="preserve"> </w:t>
      </w:r>
      <w:r>
        <w:t xml:space="preserve">рублей </w:t>
      </w:r>
      <w:r>
        <w:t xml:space="preserve">на 2027 год;</w:t>
      </w:r>
    </w:p>
    <w:p>
      <w:pPr>
        <w:ind w:firstLine="709"/>
        <w:jc w:val="both"/>
      </w:pPr>
      <w:r>
        <w:t xml:space="preserve">КБК 143 1204 99.0.00.98</w:t>
      </w:r>
      <w:r>
        <w:t xml:space="preserve">703 610 – 13 825 </w:t>
      </w:r>
      <w:r>
        <w:t xml:space="preserve">1</w:t>
      </w:r>
      <w:r>
        <w:t xml:space="preserve">00,00</w:t>
      </w:r>
      <w:r>
        <w:t xml:space="preserve"> </w:t>
      </w:r>
      <w:r>
        <w:t xml:space="preserve">рублей </w:t>
      </w:r>
      <w:r>
        <w:t xml:space="preserve">на 2025 год;</w:t>
      </w:r>
    </w:p>
    <w:p>
      <w:pPr>
        <w:ind w:firstLine="709"/>
        <w:jc w:val="both"/>
      </w:pPr>
      <w:r>
        <w:t xml:space="preserve">КБК 143 1204 99.0.00.98703 610 – 15</w:t>
      </w:r>
      <w:r>
        <w:t xml:space="preserve"> </w:t>
      </w:r>
      <w:r>
        <w:t xml:space="preserve">521</w:t>
      </w:r>
      <w:r>
        <w:t xml:space="preserve"> </w:t>
      </w:r>
      <w:r>
        <w:t xml:space="preserve">2</w:t>
      </w:r>
      <w:r>
        <w:t xml:space="preserve">00,00</w:t>
      </w:r>
      <w:r>
        <w:t xml:space="preserve"> </w:t>
      </w:r>
      <w:r>
        <w:t xml:space="preserve">рублей </w:t>
      </w:r>
      <w:r>
        <w:t xml:space="preserve">на 2026 год; </w:t>
      </w:r>
    </w:p>
    <w:p>
      <w:pPr>
        <w:ind w:firstLine="709"/>
        <w:jc w:val="both"/>
      </w:pPr>
      <w:r>
        <w:t xml:space="preserve">КБК 143 </w:t>
      </w:r>
      <w:r>
        <w:t xml:space="preserve">1204 99.0.00.98703 610 – 16 564 </w:t>
      </w:r>
      <w:r>
        <w:t xml:space="preserve">7</w:t>
      </w:r>
      <w:r>
        <w:t xml:space="preserve">00,00</w:t>
      </w:r>
      <w:r>
        <w:t xml:space="preserve"> </w:t>
      </w:r>
      <w:r>
        <w:t xml:space="preserve">рублей </w:t>
      </w:r>
      <w:r>
        <w:t xml:space="preserve">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управления информационных проектов Новосибирской области.</w:t>
      </w:r>
    </w:p>
    <w:p>
      <w:pPr>
        <w:ind w:firstLine="709"/>
        <w:jc w:val="both"/>
        <w:rPr>
          <w:b/>
          <w:bCs/>
        </w:rPr>
      </w:pPr>
      <w:r>
        <w:rPr>
          <w:b/>
          <w:highlight w:val="none"/>
        </w:rPr>
      </w:r>
      <w:r>
        <w:rPr>
          <w:b/>
          <w:highlight w:val="none"/>
        </w:rPr>
      </w:r>
      <w:r>
        <w:rPr>
          <w:b/>
          <w:bCs/>
        </w:rPr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</w:rPr>
        <w:t xml:space="preserve">22. Контрольное управление Новосибирской области.</w:t>
      </w:r>
      <w:r>
        <w:rPr>
          <w:b/>
        </w:rPr>
      </w:r>
      <w:r>
        <w:rPr>
          <w:b/>
          <w:bCs/>
          <w:highlight w:val="none"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полномочия Новосибирской области:</w:t>
      </w:r>
    </w:p>
    <w:p>
      <w:pPr>
        <w:ind w:firstLine="709"/>
        <w:jc w:val="both"/>
      </w:pPr>
      <w:r>
        <w:t xml:space="preserve"> полномочия в сфере закупок товаров, работ, услуг для обеспе</w:t>
      </w:r>
      <w:r>
        <w:t xml:space="preserve">чения государственных нужд – часть 3 статьи 2, часть 3 статьи 26, части 1, 2 и 4 статьи 111.4 Федерального закона от 5 апреля 2013 г. № 44-ФЗ «О контрактной системе в сфере закупок товаров, работ, услуг для обеспечения государственных и муниципальных нужд.</w:t>
      </w:r>
    </w:p>
    <w:p>
      <w:pPr>
        <w:ind w:firstLine="709"/>
        <w:jc w:val="both"/>
      </w:pPr>
      <w:r>
        <w:t xml:space="preserve">Законом Новосибирской области </w:t>
      </w:r>
      <w:r>
        <w:t xml:space="preserve">№ 546-ОЗ контрольному управлению Новосибирской области предусмотрены бюджетные ассигнования на: </w:t>
      </w:r>
    </w:p>
    <w:p>
      <w:pPr>
        <w:ind w:firstLine="709"/>
        <w:jc w:val="both"/>
      </w:pPr>
      <w:r>
        <w:t xml:space="preserve">197 000 003 «Содержание и обеспечение деятельности подведомс</w:t>
      </w:r>
      <w:r>
        <w:t xml:space="preserve">твенного государственного казенного учреждения, созданного для оказания государственных услуг, выполнения работ и (или) исполнения государственных функций в целях обеспечения реализации предусмотренных законодательством Российской Федерации полномочий орга</w:t>
      </w:r>
      <w:r>
        <w:t xml:space="preserve">нов государственной власти Новосибирской области в области государственного финансового контроля, контроля в сфере размещения заказов на поставки товаров, выполнения работ, оказания услуг для государственных, муниципальных нужд, нужд бюджетных учреждений»:</w:t>
      </w:r>
    </w:p>
    <w:p>
      <w:pPr>
        <w:ind w:firstLine="709"/>
        <w:jc w:val="both"/>
      </w:pPr>
      <w:r>
        <w:t xml:space="preserve">КБК 197 0113 9900000590 – 202 434 400,00 рублей на 2025 год;</w:t>
      </w:r>
    </w:p>
    <w:p>
      <w:pPr>
        <w:ind w:firstLine="709"/>
        <w:jc w:val="both"/>
      </w:pPr>
      <w:r>
        <w:t xml:space="preserve">КБК 197 0113 9900000590 – 225 237 900,00 рублей на 2026 год;</w:t>
      </w:r>
    </w:p>
    <w:p>
      <w:pPr>
        <w:ind w:firstLine="709"/>
        <w:jc w:val="both"/>
      </w:pPr>
      <w:r>
        <w:t xml:space="preserve">КБК 197 0113 9900000590 – 239 264 800,00 рублей 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контрольного управления Новосибирской области. </w:t>
      </w:r>
    </w:p>
    <w:p>
      <w:pPr>
        <w:ind w:firstLine="709"/>
        <w:jc w:val="both"/>
      </w:pPr>
    </w:p>
    <w:p>
      <w:pPr>
        <w:ind w:firstLine="709"/>
        <w:jc w:val="both"/>
        <w:rPr>
          <w:b/>
        </w:rPr>
      </w:pPr>
      <w:r>
        <w:rPr>
          <w:b/>
        </w:rPr>
        <w:t xml:space="preserve">23.</w:t>
      </w:r>
      <w:r>
        <w:rPr>
          <w:b/>
        </w:rPr>
        <w:t xml:space="preserve"> Государственная инспекция по охране объектов культурного наследия Новосибирской области.</w:t>
      </w:r>
      <w:r>
        <w:rPr>
          <w:b/>
        </w:rPr>
      </w:r>
      <w:r>
        <w:rPr>
          <w:b/>
        </w:rPr>
      </w:r>
    </w:p>
    <w:p>
      <w:pPr>
        <w:ind w:firstLine="709"/>
        <w:jc w:val="both"/>
      </w:pPr>
      <w:r>
        <w:t xml:space="preserve">Реализация проекта закона </w:t>
      </w:r>
      <w:r>
        <w:t xml:space="preserve">будет осуществляться в рамках полномочия Новосибирской области предоставление государственных услуг в сфере сохранения, использования, популяризации и государственной охраны объектов культурного наследия.</w:t>
      </w:r>
    </w:p>
    <w:p>
      <w:pPr>
        <w:ind w:firstLine="709"/>
        <w:jc w:val="both"/>
      </w:pPr>
      <w:r>
        <w:t xml:space="preserve">Законом Новосибирской области </w:t>
      </w:r>
      <w:r>
        <w:t xml:space="preserve">№ 546-ОЗ государственной инспекции по охране объектов культурного наследия Новосибирской области предусмотрены бюджетные ассигнования на: </w:t>
      </w:r>
    </w:p>
    <w:p>
      <w:pPr>
        <w:ind w:firstLine="709"/>
        <w:jc w:val="both"/>
      </w:pPr>
      <w:r>
        <w:t xml:space="preserve">- финансовое обеспечение государственного (муниципального) задания на оказание государственных (муниципальных) услуг (выполнение работ):</w:t>
      </w:r>
    </w:p>
    <w:p>
      <w:pPr>
        <w:ind w:firstLine="709"/>
        <w:jc w:val="both"/>
      </w:pPr>
      <w:r>
        <w:t xml:space="preserve">КБК 115 0801 1130300720 621 – 57 251 200,00 рублей на 2025 год;</w:t>
      </w:r>
    </w:p>
    <w:p>
      <w:pPr>
        <w:ind w:firstLine="709"/>
        <w:jc w:val="both"/>
      </w:pPr>
      <w:r>
        <w:t xml:space="preserve">КБК 115 0801 1130300720 621 – 61 938 200,00 рублей на 2026 год;</w:t>
      </w:r>
    </w:p>
    <w:p>
      <w:pPr>
        <w:ind w:firstLine="709"/>
        <w:jc w:val="both"/>
      </w:pPr>
      <w:r>
        <w:t xml:space="preserve">КБК 115 0801 1130300720 621 – 67 057 700,00 рублей на 2027 год.</w:t>
      </w:r>
    </w:p>
    <w:p>
      <w:pPr>
        <w:ind w:firstLine="709"/>
        <w:jc w:val="both"/>
      </w:pPr>
      <w:r>
        <w:t xml:space="preserve">Реализация проекта закона не потребует дополнительных затрат из областного бюджета Новосибирской области в части расходных обязательств государственной инспекции по охране объектов культурного наследия Новосибирской области. </w:t>
      </w:r>
    </w:p>
    <w:p>
      <w:pPr>
        <w:ind w:firstLine="709"/>
        <w:jc w:val="both"/>
      </w:pPr>
    </w:p>
    <w:p>
      <w:pPr>
        <w:ind w:firstLine="709"/>
        <w:jc w:val="both"/>
        <w:rPr>
          <w:highlight w:val="none"/>
        </w:rPr>
      </w:pPr>
      <w:r>
        <w:t xml:space="preserve">Выпадающие доходы областного бюджета Новосибирской области при реализации проекта закона отсутствуют. </w:t>
      </w:r>
      <w:r>
        <w:rPr>
          <w:highlight w:val="none"/>
        </w:rPr>
      </w:r>
    </w:p>
    <w:p>
      <w:pPr>
        <w:ind w:firstLine="709"/>
        <w:jc w:val="both"/>
        <w:rPr>
          <w:highlight w:val="none"/>
        </w:rPr>
      </w:pPr>
      <w:r>
        <w:t xml:space="preserve">Участниками реализации проекта закона являются областные исполнительные органы Новосибирской области, государственные учреждения Новосибирской области, подведомственные </w:t>
      </w:r>
      <w:r>
        <w:t xml:space="preserve">областным исполнительным органам </w:t>
      </w:r>
      <w:r>
        <w:t xml:space="preserve">Новосибирской области.</w:t>
      </w: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417" w:header="567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  <w:jc w:val="center"/>
    </w:pPr>
    <w:fldSimple w:instr="PAGE \* MERGEFORMAT">
      <w:r>
        <w:rPr>
          <w:sz w:val="20"/>
          <w:szCs w:val="20"/>
        </w:rPr>
        <w:t xml:space="preserve">1</w:t>
      </w:r>
    </w:fldSimple>
    <w:r>
      <w:rPr>
        <w:sz w:val="20"/>
        <w:szCs w:val="20"/>
      </w:rPr>
    </w:r>
    <w:r>
      <w:rPr>
        <w:sz w:val="20"/>
        <w:szCs w:val="20"/>
      </w:rPr>
    </w:r>
  </w:p>
  <w:p>
    <w:pPr>
      <w:pStyle w:val="9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405" w:leader="none"/>
        </w:tabs>
        <w:ind w:left="405" w:hanging="405"/>
      </w:p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tabs>
          <w:tab w:val="num" w:pos="720" w:leader="none"/>
        </w:tabs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160" w:leader="none"/>
        </w:tabs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20" w:leader="none"/>
        </w:tabs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480" w:leader="none"/>
        </w:tabs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855" w:leader="none"/>
        </w:tabs>
        <w:ind w:left="855" w:hanging="495"/>
      </w:pPr>
    </w:lvl>
    <w:lvl w:ilvl="1">
      <w:start w:val="1"/>
      <w:numFmt w:val="lowerLetter"/>
      <w:isLgl w:val="false"/>
      <w:suff w:val="tab"/>
      <w:lvlText w:val="%2."/>
      <w:lvlJc w:val="left"/>
      <w:pPr>
        <w:tabs>
          <w:tab w:val="num" w:pos="1440" w:leader="none"/>
        </w:tabs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tabs>
          <w:tab w:val="num" w:pos="2160" w:leader="none"/>
        </w:tabs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tabs>
          <w:tab w:val="num" w:pos="2880" w:leader="none"/>
        </w:tabs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tabs>
          <w:tab w:val="num" w:pos="3600" w:leader="none"/>
        </w:tabs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tabs>
          <w:tab w:val="num" w:pos="4320" w:leader="none"/>
        </w:tabs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tabs>
          <w:tab w:val="num" w:pos="5040" w:leader="none"/>
        </w:tabs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tabs>
          <w:tab w:val="num" w:pos="5760" w:leader="none"/>
        </w:tabs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tabs>
          <w:tab w:val="num" w:pos="6480" w:leader="none"/>
        </w:tabs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eading 1 Char"/>
    <w:basedOn w:val="728"/>
    <w:link w:val="719"/>
    <w:uiPriority w:val="9"/>
    <w:rPr>
      <w:rFonts w:ascii="Arial" w:hAnsi="Arial" w:eastAsia="Arial" w:cs="Arial"/>
      <w:sz w:val="40"/>
      <w:szCs w:val="40"/>
    </w:rPr>
  </w:style>
  <w:style w:type="character" w:styleId="703">
    <w:name w:val="Heading 2 Char"/>
    <w:basedOn w:val="728"/>
    <w:link w:val="720"/>
    <w:uiPriority w:val="9"/>
    <w:rPr>
      <w:rFonts w:ascii="Arial" w:hAnsi="Arial" w:eastAsia="Arial" w:cs="Arial"/>
      <w:sz w:val="34"/>
    </w:rPr>
  </w:style>
  <w:style w:type="character" w:styleId="704">
    <w:name w:val="Heading 3 Char"/>
    <w:basedOn w:val="728"/>
    <w:link w:val="721"/>
    <w:uiPriority w:val="9"/>
    <w:rPr>
      <w:rFonts w:ascii="Arial" w:hAnsi="Arial" w:eastAsia="Arial" w:cs="Arial"/>
      <w:sz w:val="30"/>
      <w:szCs w:val="30"/>
    </w:rPr>
  </w:style>
  <w:style w:type="character" w:styleId="705">
    <w:name w:val="Heading 4 Char"/>
    <w:basedOn w:val="728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706">
    <w:name w:val="Heading 5 Char"/>
    <w:basedOn w:val="728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707">
    <w:name w:val="Heading 6 Char"/>
    <w:basedOn w:val="72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708">
    <w:name w:val="Heading 7 Char"/>
    <w:basedOn w:val="728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9">
    <w:name w:val="Heading 8 Char"/>
    <w:basedOn w:val="728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710">
    <w:name w:val="Heading 9 Char"/>
    <w:basedOn w:val="728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711">
    <w:name w:val="Title Char"/>
    <w:basedOn w:val="728"/>
    <w:link w:val="899"/>
    <w:uiPriority w:val="10"/>
    <w:rPr>
      <w:sz w:val="48"/>
      <w:szCs w:val="48"/>
    </w:rPr>
  </w:style>
  <w:style w:type="character" w:styleId="712">
    <w:name w:val="Subtitle Char"/>
    <w:basedOn w:val="728"/>
    <w:link w:val="743"/>
    <w:uiPriority w:val="11"/>
    <w:rPr>
      <w:sz w:val="24"/>
      <w:szCs w:val="24"/>
    </w:rPr>
  </w:style>
  <w:style w:type="character" w:styleId="713">
    <w:name w:val="Quote Char"/>
    <w:link w:val="745"/>
    <w:uiPriority w:val="29"/>
    <w:rPr>
      <w:i/>
    </w:rPr>
  </w:style>
  <w:style w:type="character" w:styleId="714">
    <w:name w:val="Intense Quote Char"/>
    <w:link w:val="747"/>
    <w:uiPriority w:val="30"/>
    <w:rPr>
      <w:i/>
    </w:rPr>
  </w:style>
  <w:style w:type="character" w:styleId="715">
    <w:name w:val="Caption Char"/>
    <w:basedOn w:val="752"/>
    <w:link w:val="750"/>
    <w:uiPriority w:val="99"/>
  </w:style>
  <w:style w:type="character" w:styleId="716">
    <w:name w:val="Footnote Text Char"/>
    <w:link w:val="881"/>
    <w:uiPriority w:val="99"/>
    <w:rPr>
      <w:sz w:val="18"/>
    </w:rPr>
  </w:style>
  <w:style w:type="character" w:styleId="717">
    <w:name w:val="Endnote Text Char"/>
    <w:link w:val="884"/>
    <w:uiPriority w:val="99"/>
    <w:rPr>
      <w:sz w:val="20"/>
    </w:rPr>
  </w:style>
  <w:style w:type="paragraph" w:styleId="718" w:default="1">
    <w:name w:val="Normal"/>
    <w:qFormat/>
    <w:rPr>
      <w:sz w:val="28"/>
    </w:rPr>
  </w:style>
  <w:style w:type="paragraph" w:styleId="719">
    <w:name w:val="Heading 1"/>
    <w:basedOn w:val="718"/>
    <w:next w:val="718"/>
    <w:link w:val="731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720">
    <w:name w:val="Heading 2"/>
    <w:basedOn w:val="718"/>
    <w:next w:val="718"/>
    <w:link w:val="732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21">
    <w:name w:val="Heading 3"/>
    <w:basedOn w:val="718"/>
    <w:next w:val="718"/>
    <w:link w:val="733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722">
    <w:name w:val="Heading 4"/>
    <w:basedOn w:val="718"/>
    <w:next w:val="718"/>
    <w:link w:val="734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23">
    <w:name w:val="Heading 5"/>
    <w:basedOn w:val="718"/>
    <w:next w:val="718"/>
    <w:link w:val="735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4">
    <w:name w:val="Heading 6"/>
    <w:basedOn w:val="718"/>
    <w:next w:val="718"/>
    <w:link w:val="736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718"/>
    <w:next w:val="718"/>
    <w:link w:val="737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718"/>
    <w:next w:val="718"/>
    <w:link w:val="73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718"/>
    <w:next w:val="718"/>
    <w:link w:val="73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 w:default="1">
    <w:name w:val="Default Paragraph Font"/>
    <w:uiPriority w:val="1"/>
    <w:semiHidden/>
    <w:unhideWhenUsed/>
  </w:style>
  <w:style w:type="table" w:styleId="7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0" w:default="1">
    <w:name w:val="No List"/>
    <w:uiPriority w:val="99"/>
    <w:semiHidden/>
    <w:unhideWhenUsed/>
  </w:style>
  <w:style w:type="character" w:styleId="731" w:customStyle="1">
    <w:name w:val="Заголовок 1 Знак"/>
    <w:basedOn w:val="728"/>
    <w:link w:val="719"/>
    <w:uiPriority w:val="9"/>
    <w:rPr>
      <w:rFonts w:ascii="Arial" w:hAnsi="Arial" w:eastAsia="Arial" w:cs="Arial"/>
      <w:sz w:val="40"/>
      <w:szCs w:val="40"/>
    </w:rPr>
  </w:style>
  <w:style w:type="character" w:styleId="732" w:customStyle="1">
    <w:name w:val="Заголовок 2 Знак"/>
    <w:basedOn w:val="728"/>
    <w:link w:val="720"/>
    <w:uiPriority w:val="9"/>
    <w:rPr>
      <w:rFonts w:ascii="Arial" w:hAnsi="Arial" w:eastAsia="Arial" w:cs="Arial"/>
      <w:sz w:val="34"/>
    </w:rPr>
  </w:style>
  <w:style w:type="character" w:styleId="733" w:customStyle="1">
    <w:name w:val="Заголовок 3 Знак"/>
    <w:basedOn w:val="728"/>
    <w:link w:val="721"/>
    <w:uiPriority w:val="9"/>
    <w:rPr>
      <w:rFonts w:ascii="Arial" w:hAnsi="Arial" w:eastAsia="Arial" w:cs="Arial"/>
      <w:sz w:val="30"/>
      <w:szCs w:val="30"/>
    </w:rPr>
  </w:style>
  <w:style w:type="character" w:styleId="734" w:customStyle="1">
    <w:name w:val="Заголовок 4 Знак"/>
    <w:basedOn w:val="728"/>
    <w:link w:val="722"/>
    <w:uiPriority w:val="9"/>
    <w:rPr>
      <w:rFonts w:ascii="Arial" w:hAnsi="Arial" w:eastAsia="Arial" w:cs="Arial"/>
      <w:b/>
      <w:bCs/>
      <w:sz w:val="26"/>
      <w:szCs w:val="26"/>
    </w:rPr>
  </w:style>
  <w:style w:type="character" w:styleId="735" w:customStyle="1">
    <w:name w:val="Заголовок 5 Знак"/>
    <w:basedOn w:val="728"/>
    <w:link w:val="723"/>
    <w:uiPriority w:val="9"/>
    <w:rPr>
      <w:rFonts w:ascii="Arial" w:hAnsi="Arial" w:eastAsia="Arial" w:cs="Arial"/>
      <w:b/>
      <w:bCs/>
      <w:sz w:val="24"/>
      <w:szCs w:val="24"/>
    </w:rPr>
  </w:style>
  <w:style w:type="character" w:styleId="736" w:customStyle="1">
    <w:name w:val="Заголовок 6 Знак"/>
    <w:basedOn w:val="728"/>
    <w:link w:val="724"/>
    <w:uiPriority w:val="9"/>
    <w:rPr>
      <w:rFonts w:ascii="Arial" w:hAnsi="Arial" w:eastAsia="Arial" w:cs="Arial"/>
      <w:b/>
      <w:bCs/>
      <w:sz w:val="22"/>
      <w:szCs w:val="22"/>
    </w:rPr>
  </w:style>
  <w:style w:type="character" w:styleId="737" w:customStyle="1">
    <w:name w:val="Заголовок 7 Знак"/>
    <w:basedOn w:val="728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8" w:customStyle="1">
    <w:name w:val="Заголовок 8 Знак"/>
    <w:basedOn w:val="728"/>
    <w:link w:val="726"/>
    <w:uiPriority w:val="9"/>
    <w:rPr>
      <w:rFonts w:ascii="Arial" w:hAnsi="Arial" w:eastAsia="Arial" w:cs="Arial"/>
      <w:i/>
      <w:iCs/>
      <w:sz w:val="22"/>
      <w:szCs w:val="22"/>
    </w:rPr>
  </w:style>
  <w:style w:type="character" w:styleId="739" w:customStyle="1">
    <w:name w:val="Заголовок 9 Знак"/>
    <w:basedOn w:val="728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List Paragraph"/>
    <w:basedOn w:val="718"/>
    <w:uiPriority w:val="34"/>
    <w:qFormat/>
    <w:pPr>
      <w:ind w:left="720"/>
      <w:contextualSpacing/>
    </w:pPr>
  </w:style>
  <w:style w:type="paragraph" w:styleId="741">
    <w:name w:val="No Spacing"/>
    <w:uiPriority w:val="1"/>
    <w:qFormat/>
  </w:style>
  <w:style w:type="character" w:styleId="742" w:customStyle="1">
    <w:name w:val="Название Знак"/>
    <w:basedOn w:val="728"/>
    <w:link w:val="899"/>
    <w:uiPriority w:val="10"/>
    <w:rPr>
      <w:sz w:val="48"/>
      <w:szCs w:val="48"/>
    </w:rPr>
  </w:style>
  <w:style w:type="paragraph" w:styleId="743">
    <w:name w:val="Subtitle"/>
    <w:basedOn w:val="718"/>
    <w:next w:val="718"/>
    <w:link w:val="744"/>
    <w:uiPriority w:val="11"/>
    <w:qFormat/>
    <w:pPr>
      <w:spacing w:before="200" w:after="200"/>
    </w:pPr>
    <w:rPr>
      <w:sz w:val="24"/>
      <w:szCs w:val="24"/>
    </w:rPr>
  </w:style>
  <w:style w:type="character" w:styleId="744" w:customStyle="1">
    <w:name w:val="Подзаголовок Знак"/>
    <w:basedOn w:val="728"/>
    <w:link w:val="743"/>
    <w:uiPriority w:val="11"/>
    <w:rPr>
      <w:sz w:val="24"/>
      <w:szCs w:val="24"/>
    </w:rPr>
  </w:style>
  <w:style w:type="paragraph" w:styleId="745">
    <w:name w:val="Quote"/>
    <w:basedOn w:val="718"/>
    <w:next w:val="718"/>
    <w:link w:val="746"/>
    <w:uiPriority w:val="29"/>
    <w:qFormat/>
    <w:pPr>
      <w:ind w:left="720" w:right="720"/>
    </w:pPr>
    <w:rPr>
      <w:i/>
    </w:rPr>
  </w:style>
  <w:style w:type="character" w:styleId="746" w:customStyle="1">
    <w:name w:val="Цитата 2 Знак"/>
    <w:link w:val="745"/>
    <w:uiPriority w:val="29"/>
    <w:rPr>
      <w:i/>
    </w:rPr>
  </w:style>
  <w:style w:type="paragraph" w:styleId="747">
    <w:name w:val="Intense Quote"/>
    <w:basedOn w:val="718"/>
    <w:next w:val="718"/>
    <w:link w:val="748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748" w:customStyle="1">
    <w:name w:val="Выделенная цитата Знак"/>
    <w:link w:val="747"/>
    <w:uiPriority w:val="30"/>
    <w:rPr>
      <w:i/>
    </w:rPr>
  </w:style>
  <w:style w:type="character" w:styleId="749" w:customStyle="1">
    <w:name w:val="Header Char"/>
    <w:basedOn w:val="728"/>
    <w:uiPriority w:val="99"/>
  </w:style>
  <w:style w:type="paragraph" w:styleId="750">
    <w:name w:val="Footer"/>
    <w:basedOn w:val="718"/>
    <w:link w:val="753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51" w:customStyle="1">
    <w:name w:val="Footer Char"/>
    <w:basedOn w:val="728"/>
    <w:uiPriority w:val="99"/>
  </w:style>
  <w:style w:type="paragraph" w:styleId="752">
    <w:name w:val="Caption"/>
    <w:basedOn w:val="718"/>
    <w:next w:val="7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3" w:customStyle="1">
    <w:name w:val="Нижний колонтитул Знак"/>
    <w:link w:val="750"/>
    <w:uiPriority w:val="99"/>
  </w:style>
  <w:style w:type="table" w:styleId="754">
    <w:name w:val="Table Grid"/>
    <w:basedOn w:val="729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 w:customStyle="1">
    <w:name w:val="Table Grid Light"/>
    <w:basedOn w:val="729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basedOn w:val="729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basedOn w:val="729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basedOn w:val="729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basedOn w:val="729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basedOn w:val="729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1">
    <w:name w:val="Grid Table 1 Light"/>
    <w:basedOn w:val="729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Grid Table 1 Light - Accent 1"/>
    <w:basedOn w:val="729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Grid Table 1 Light - Accent 2"/>
    <w:basedOn w:val="729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Grid Table 1 Light - Accent 3"/>
    <w:basedOn w:val="729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Grid Table 1 Light - Accent 4"/>
    <w:basedOn w:val="729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Grid Table 1 Light - Accent 5"/>
    <w:basedOn w:val="729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Grid Table 1 Light - Accent 6"/>
    <w:basedOn w:val="729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basedOn w:val="729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69" w:customStyle="1">
    <w:name w:val="Grid Table 2 - Accent 1"/>
    <w:basedOn w:val="729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0" w:customStyle="1">
    <w:name w:val="Grid Table 2 - Accent 2"/>
    <w:basedOn w:val="729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1" w:customStyle="1">
    <w:name w:val="Grid Table 2 - Accent 3"/>
    <w:basedOn w:val="729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2" w:customStyle="1">
    <w:name w:val="Grid Table 2 - Accent 4"/>
    <w:basedOn w:val="729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3" w:customStyle="1">
    <w:name w:val="Grid Table 2 - Accent 5"/>
    <w:basedOn w:val="729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4" w:customStyle="1">
    <w:name w:val="Grid Table 2 - Accent 6"/>
    <w:basedOn w:val="729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5">
    <w:name w:val="Grid Table 3"/>
    <w:basedOn w:val="729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6" w:customStyle="1">
    <w:name w:val="Grid Table 3 - Accent 1"/>
    <w:basedOn w:val="729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7" w:customStyle="1">
    <w:name w:val="Grid Table 3 - Accent 2"/>
    <w:basedOn w:val="729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8" w:customStyle="1">
    <w:name w:val="Grid Table 3 - Accent 3"/>
    <w:basedOn w:val="729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79" w:customStyle="1">
    <w:name w:val="Grid Table 3 - Accent 4"/>
    <w:basedOn w:val="729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0" w:customStyle="1">
    <w:name w:val="Grid Table 3 - Accent 5"/>
    <w:basedOn w:val="729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1" w:customStyle="1">
    <w:name w:val="Grid Table 3 - Accent 6"/>
    <w:basedOn w:val="729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</w:style>
  <w:style w:type="table" w:styleId="782">
    <w:name w:val="Grid Table 4"/>
    <w:basedOn w:val="729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3" w:customStyle="1">
    <w:name w:val="Grid Table 4 - Accent 1"/>
    <w:basedOn w:val="729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84" w:customStyle="1">
    <w:name w:val="Grid Table 4 - Accent 2"/>
    <w:basedOn w:val="729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Grid Table 4 - Accent 3"/>
    <w:basedOn w:val="729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86" w:customStyle="1">
    <w:name w:val="Grid Table 4 - Accent 4"/>
    <w:basedOn w:val="729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Grid Table 4 - Accent 5"/>
    <w:basedOn w:val="729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88" w:customStyle="1">
    <w:name w:val="Grid Table 4 - Accent 6"/>
    <w:basedOn w:val="729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89">
    <w:name w:val="Grid Table 5 Dark"/>
    <w:basedOn w:val="729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</w:style>
  <w:style w:type="table" w:styleId="790" w:customStyle="1">
    <w:name w:val="Grid Table 5 Dark- Accent 1"/>
    <w:basedOn w:val="729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791" w:customStyle="1">
    <w:name w:val="Grid Table 5 Dark - Accent 2"/>
    <w:basedOn w:val="729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</w:style>
  <w:style w:type="table" w:styleId="792" w:customStyle="1">
    <w:name w:val="Grid Table 5 Dark - Accent 3"/>
    <w:basedOn w:val="729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</w:style>
  <w:style w:type="table" w:styleId="793" w:customStyle="1">
    <w:name w:val="Grid Table 5 Dark- Accent 4"/>
    <w:basedOn w:val="729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</w:style>
  <w:style w:type="table" w:styleId="794" w:customStyle="1">
    <w:name w:val="Grid Table 5 Dark - Accent 5"/>
    <w:basedOn w:val="729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</w:style>
  <w:style w:type="table" w:styleId="795" w:customStyle="1">
    <w:name w:val="Grid Table 5 Dark - Accent 6"/>
    <w:basedOn w:val="729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</w:style>
  <w:style w:type="table" w:styleId="796">
    <w:name w:val="Grid Table 6 Colorful"/>
    <w:basedOn w:val="729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97" w:customStyle="1">
    <w:name w:val="Grid Table 6 Colorful - Accent 1"/>
    <w:basedOn w:val="729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98" w:customStyle="1">
    <w:name w:val="Grid Table 6 Colorful - Accent 2"/>
    <w:basedOn w:val="729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99" w:customStyle="1">
    <w:name w:val="Grid Table 6 Colorful - Accent 3"/>
    <w:basedOn w:val="729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00" w:customStyle="1">
    <w:name w:val="Grid Table 6 Colorful - Accent 4"/>
    <w:basedOn w:val="729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01" w:customStyle="1">
    <w:name w:val="Grid Table 6 Colorful - Accent 5"/>
    <w:basedOn w:val="729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2" w:customStyle="1">
    <w:name w:val="Grid Table 6 Colorful - Accent 6"/>
    <w:basedOn w:val="729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03">
    <w:name w:val="Grid Table 7 Colorful"/>
    <w:basedOn w:val="729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4" w:customStyle="1">
    <w:name w:val="Grid Table 7 Colorful - Accent 1"/>
    <w:basedOn w:val="729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5" w:customStyle="1">
    <w:name w:val="Grid Table 7 Colorful - Accent 2"/>
    <w:basedOn w:val="729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6" w:customStyle="1">
    <w:name w:val="Grid Table 7 Colorful - Accent 3"/>
    <w:basedOn w:val="729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7" w:customStyle="1">
    <w:name w:val="Grid Table 7 Colorful - Accent 4"/>
    <w:basedOn w:val="729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8" w:customStyle="1">
    <w:name w:val="Grid Table 7 Colorful - Accent 5"/>
    <w:basedOn w:val="729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09" w:customStyle="1">
    <w:name w:val="Grid Table 7 Colorful - Accent 6"/>
    <w:basedOn w:val="729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10">
    <w:name w:val="List Table 1 Light"/>
    <w:basedOn w:val="729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1 Light - Accent 1"/>
    <w:basedOn w:val="729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st Table 1 Light - Accent 2"/>
    <w:basedOn w:val="729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 w:customStyle="1">
    <w:name w:val="List Table 1 Light - Accent 3"/>
    <w:basedOn w:val="729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 w:customStyle="1">
    <w:name w:val="List Table 1 Light - Accent 4"/>
    <w:basedOn w:val="729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 w:customStyle="1">
    <w:name w:val="List Table 1 Light - Accent 5"/>
    <w:basedOn w:val="729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 w:customStyle="1">
    <w:name w:val="List Table 1 Light - Accent 6"/>
    <w:basedOn w:val="729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2"/>
    <w:basedOn w:val="729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18" w:customStyle="1">
    <w:name w:val="List Table 2 - Accent 1"/>
    <w:basedOn w:val="729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19" w:customStyle="1">
    <w:name w:val="List Table 2 - Accent 2"/>
    <w:basedOn w:val="729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20" w:customStyle="1">
    <w:name w:val="List Table 2 - Accent 3"/>
    <w:basedOn w:val="729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21" w:customStyle="1">
    <w:name w:val="List Table 2 - Accent 4"/>
    <w:basedOn w:val="729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22" w:customStyle="1">
    <w:name w:val="List Table 2 - Accent 5"/>
    <w:basedOn w:val="729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23" w:customStyle="1">
    <w:name w:val="List Table 2 - Accent 6"/>
    <w:basedOn w:val="729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24">
    <w:name w:val="List Table 3"/>
    <w:basedOn w:val="729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3 - Accent 1"/>
    <w:basedOn w:val="729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3 - Accent 2"/>
    <w:basedOn w:val="729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 w:customStyle="1">
    <w:name w:val="List Table 3 - Accent 3"/>
    <w:basedOn w:val="729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 w:customStyle="1">
    <w:name w:val="List Table 3 - Accent 4"/>
    <w:basedOn w:val="729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 w:customStyle="1">
    <w:name w:val="List Table 3 - Accent 5"/>
    <w:basedOn w:val="729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 w:customStyle="1">
    <w:name w:val="List Table 3 - Accent 6"/>
    <w:basedOn w:val="729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basedOn w:val="729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 w:customStyle="1">
    <w:name w:val="List Table 4 - Accent 1"/>
    <w:basedOn w:val="729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 w:customStyle="1">
    <w:name w:val="List Table 4 - Accent 2"/>
    <w:basedOn w:val="729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 w:customStyle="1">
    <w:name w:val="List Table 4 - Accent 3"/>
    <w:basedOn w:val="729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 w:customStyle="1">
    <w:name w:val="List Table 4 - Accent 4"/>
    <w:basedOn w:val="729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 w:customStyle="1">
    <w:name w:val="List Table 4 - Accent 5"/>
    <w:basedOn w:val="729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 w:customStyle="1">
    <w:name w:val="List Table 4 - Accent 6"/>
    <w:basedOn w:val="729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basedOn w:val="729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9" w:customStyle="1">
    <w:name w:val="List Table 5 Dark - Accent 1"/>
    <w:basedOn w:val="729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0" w:customStyle="1">
    <w:name w:val="List Table 5 Dark - Accent 2"/>
    <w:basedOn w:val="729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1" w:customStyle="1">
    <w:name w:val="List Table 5 Dark - Accent 3"/>
    <w:basedOn w:val="729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2" w:customStyle="1">
    <w:name w:val="List Table 5 Dark - Accent 4"/>
    <w:basedOn w:val="729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3" w:customStyle="1">
    <w:name w:val="List Table 5 Dark - Accent 5"/>
    <w:basedOn w:val="729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4" w:customStyle="1">
    <w:name w:val="List Table 5 Dark - Accent 6"/>
    <w:basedOn w:val="729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45">
    <w:name w:val="List Table 6 Colorful"/>
    <w:basedOn w:val="729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46" w:customStyle="1">
    <w:name w:val="List Table 6 Colorful - Accent 1"/>
    <w:basedOn w:val="729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47" w:customStyle="1">
    <w:name w:val="List Table 6 Colorful - Accent 2"/>
    <w:basedOn w:val="729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48" w:customStyle="1">
    <w:name w:val="List Table 6 Colorful - Accent 3"/>
    <w:basedOn w:val="729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49" w:customStyle="1">
    <w:name w:val="List Table 6 Colorful - Accent 4"/>
    <w:basedOn w:val="729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50" w:customStyle="1">
    <w:name w:val="List Table 6 Colorful - Accent 5"/>
    <w:basedOn w:val="729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51" w:customStyle="1">
    <w:name w:val="List Table 6 Colorful - Accent 6"/>
    <w:basedOn w:val="729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52">
    <w:name w:val="List Table 7 Colorful"/>
    <w:basedOn w:val="729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3" w:customStyle="1">
    <w:name w:val="List Table 7 Colorful - Accent 1"/>
    <w:basedOn w:val="729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4" w:customStyle="1">
    <w:name w:val="List Table 7 Colorful - Accent 2"/>
    <w:basedOn w:val="729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5" w:customStyle="1">
    <w:name w:val="List Table 7 Colorful - Accent 3"/>
    <w:basedOn w:val="729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6" w:customStyle="1">
    <w:name w:val="List Table 7 Colorful - Accent 4"/>
    <w:basedOn w:val="729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7" w:customStyle="1">
    <w:name w:val="List Table 7 Colorful - Accent 5"/>
    <w:basedOn w:val="729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8" w:customStyle="1">
    <w:name w:val="List Table 7 Colorful - Accent 6"/>
    <w:basedOn w:val="729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859" w:customStyle="1">
    <w:name w:val="Lined - Accent"/>
    <w:basedOn w:val="729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0" w:customStyle="1">
    <w:name w:val="Lined - Accent 1"/>
    <w:basedOn w:val="729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1" w:customStyle="1">
    <w:name w:val="Lined - Accent 2"/>
    <w:basedOn w:val="729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2" w:customStyle="1">
    <w:name w:val="Lined - Accent 3"/>
    <w:basedOn w:val="729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63" w:customStyle="1">
    <w:name w:val="Lined - Accent 4"/>
    <w:basedOn w:val="729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4" w:customStyle="1">
    <w:name w:val="Lined - Accent 5"/>
    <w:basedOn w:val="729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5" w:customStyle="1">
    <w:name w:val="Lined - Accent 6"/>
    <w:basedOn w:val="729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6" w:customStyle="1">
    <w:name w:val="Bordered &amp; Lined - Accent"/>
    <w:basedOn w:val="729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67" w:customStyle="1">
    <w:name w:val="Bordered &amp; Lined - Accent 1"/>
    <w:basedOn w:val="729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68" w:customStyle="1">
    <w:name w:val="Bordered &amp; Lined - Accent 2"/>
    <w:basedOn w:val="729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69" w:customStyle="1">
    <w:name w:val="Bordered &amp; Lined - Accent 3"/>
    <w:basedOn w:val="729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70" w:customStyle="1">
    <w:name w:val="Bordered &amp; Lined - Accent 4"/>
    <w:basedOn w:val="729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71" w:customStyle="1">
    <w:name w:val="Bordered &amp; Lined - Accent 5"/>
    <w:basedOn w:val="729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72" w:customStyle="1">
    <w:name w:val="Bordered &amp; Lined - Accent 6"/>
    <w:basedOn w:val="729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73" w:customStyle="1">
    <w:name w:val="Bordered"/>
    <w:basedOn w:val="729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74" w:customStyle="1">
    <w:name w:val="Bordered - Accent 1"/>
    <w:basedOn w:val="729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75" w:customStyle="1">
    <w:name w:val="Bordered - Accent 2"/>
    <w:basedOn w:val="729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76" w:customStyle="1">
    <w:name w:val="Bordered - Accent 3"/>
    <w:basedOn w:val="729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77" w:customStyle="1">
    <w:name w:val="Bordered - Accent 4"/>
    <w:basedOn w:val="729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78" w:customStyle="1">
    <w:name w:val="Bordered - Accent 5"/>
    <w:basedOn w:val="729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79" w:customStyle="1">
    <w:name w:val="Bordered - Accent 6"/>
    <w:basedOn w:val="729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basedOn w:val="718"/>
    <w:link w:val="882"/>
    <w:uiPriority w:val="99"/>
    <w:semiHidden/>
    <w:unhideWhenUsed/>
    <w:pPr>
      <w:spacing w:after="40"/>
    </w:pPr>
    <w:rPr>
      <w:sz w:val="18"/>
    </w:rPr>
  </w:style>
  <w:style w:type="character" w:styleId="882" w:customStyle="1">
    <w:name w:val="Текст сноски Знак"/>
    <w:link w:val="881"/>
    <w:uiPriority w:val="99"/>
    <w:rPr>
      <w:sz w:val="18"/>
    </w:rPr>
  </w:style>
  <w:style w:type="character" w:styleId="883">
    <w:name w:val="footnote reference"/>
    <w:basedOn w:val="728"/>
    <w:uiPriority w:val="99"/>
    <w:unhideWhenUsed/>
    <w:rPr>
      <w:vertAlign w:val="superscript"/>
    </w:rPr>
  </w:style>
  <w:style w:type="paragraph" w:styleId="884">
    <w:name w:val="endnote text"/>
    <w:basedOn w:val="718"/>
    <w:link w:val="885"/>
    <w:uiPriority w:val="99"/>
    <w:semiHidden/>
    <w:unhideWhenUsed/>
    <w:rPr>
      <w:sz w:val="20"/>
    </w:rPr>
  </w:style>
  <w:style w:type="character" w:styleId="885" w:customStyle="1">
    <w:name w:val="Текст концевой сноски Знак"/>
    <w:link w:val="884"/>
    <w:uiPriority w:val="99"/>
    <w:rPr>
      <w:sz w:val="20"/>
    </w:rPr>
  </w:style>
  <w:style w:type="character" w:styleId="886">
    <w:name w:val="endnote reference"/>
    <w:basedOn w:val="728"/>
    <w:uiPriority w:val="99"/>
    <w:semiHidden/>
    <w:unhideWhenUsed/>
    <w:rPr>
      <w:vertAlign w:val="superscript"/>
    </w:rPr>
  </w:style>
  <w:style w:type="paragraph" w:styleId="887">
    <w:name w:val="toc 1"/>
    <w:basedOn w:val="718"/>
    <w:next w:val="718"/>
    <w:uiPriority w:val="39"/>
    <w:unhideWhenUsed/>
    <w:pPr>
      <w:spacing w:after="57"/>
    </w:pPr>
  </w:style>
  <w:style w:type="paragraph" w:styleId="888">
    <w:name w:val="toc 2"/>
    <w:basedOn w:val="718"/>
    <w:next w:val="718"/>
    <w:uiPriority w:val="39"/>
    <w:unhideWhenUsed/>
    <w:pPr>
      <w:spacing w:after="57"/>
      <w:ind w:left="283"/>
    </w:pPr>
  </w:style>
  <w:style w:type="paragraph" w:styleId="889">
    <w:name w:val="toc 3"/>
    <w:basedOn w:val="718"/>
    <w:next w:val="718"/>
    <w:uiPriority w:val="39"/>
    <w:unhideWhenUsed/>
    <w:pPr>
      <w:spacing w:after="57"/>
      <w:ind w:left="567"/>
    </w:pPr>
  </w:style>
  <w:style w:type="paragraph" w:styleId="890">
    <w:name w:val="toc 4"/>
    <w:basedOn w:val="718"/>
    <w:next w:val="718"/>
    <w:uiPriority w:val="39"/>
    <w:unhideWhenUsed/>
    <w:pPr>
      <w:spacing w:after="57"/>
      <w:ind w:left="850"/>
    </w:pPr>
  </w:style>
  <w:style w:type="paragraph" w:styleId="891">
    <w:name w:val="toc 5"/>
    <w:basedOn w:val="718"/>
    <w:next w:val="718"/>
    <w:uiPriority w:val="39"/>
    <w:unhideWhenUsed/>
    <w:pPr>
      <w:spacing w:after="57"/>
      <w:ind w:left="1134"/>
    </w:pPr>
  </w:style>
  <w:style w:type="paragraph" w:styleId="892">
    <w:name w:val="toc 6"/>
    <w:basedOn w:val="718"/>
    <w:next w:val="718"/>
    <w:uiPriority w:val="39"/>
    <w:unhideWhenUsed/>
    <w:pPr>
      <w:spacing w:after="57"/>
      <w:ind w:left="1417"/>
    </w:pPr>
  </w:style>
  <w:style w:type="paragraph" w:styleId="893">
    <w:name w:val="toc 7"/>
    <w:basedOn w:val="718"/>
    <w:next w:val="718"/>
    <w:uiPriority w:val="39"/>
    <w:unhideWhenUsed/>
    <w:pPr>
      <w:spacing w:after="57"/>
      <w:ind w:left="1701"/>
    </w:pPr>
  </w:style>
  <w:style w:type="paragraph" w:styleId="894">
    <w:name w:val="toc 8"/>
    <w:basedOn w:val="718"/>
    <w:next w:val="718"/>
    <w:uiPriority w:val="39"/>
    <w:unhideWhenUsed/>
    <w:pPr>
      <w:spacing w:after="57"/>
      <w:ind w:left="1984"/>
    </w:pPr>
  </w:style>
  <w:style w:type="paragraph" w:styleId="895">
    <w:name w:val="toc 9"/>
    <w:basedOn w:val="718"/>
    <w:next w:val="718"/>
    <w:uiPriority w:val="39"/>
    <w:unhideWhenUsed/>
    <w:pPr>
      <w:spacing w:after="57"/>
      <w:ind w:left="2268"/>
    </w:pPr>
  </w:style>
  <w:style w:type="paragraph" w:styleId="896">
    <w:name w:val="TOC Heading"/>
    <w:uiPriority w:val="39"/>
    <w:unhideWhenUsed/>
  </w:style>
  <w:style w:type="paragraph" w:styleId="897">
    <w:name w:val="table of figures"/>
    <w:basedOn w:val="718"/>
    <w:next w:val="718"/>
    <w:uiPriority w:val="99"/>
    <w:unhideWhenUsed/>
  </w:style>
  <w:style w:type="paragraph" w:styleId="898">
    <w:name w:val="Body Text"/>
    <w:basedOn w:val="718"/>
    <w:pPr>
      <w:jc w:val="center"/>
    </w:pPr>
  </w:style>
  <w:style w:type="paragraph" w:styleId="899">
    <w:name w:val="Title"/>
    <w:basedOn w:val="718"/>
    <w:link w:val="742"/>
    <w:qFormat/>
    <w:pPr>
      <w:jc w:val="center"/>
    </w:pPr>
    <w:rPr>
      <w:b/>
    </w:rPr>
  </w:style>
  <w:style w:type="paragraph" w:styleId="900">
    <w:name w:val="Header"/>
    <w:basedOn w:val="718"/>
    <w:link w:val="901"/>
    <w:pPr>
      <w:tabs>
        <w:tab w:val="center" w:pos="4153" w:leader="none"/>
        <w:tab w:val="right" w:pos="8306" w:leader="none"/>
      </w:tabs>
    </w:pPr>
  </w:style>
  <w:style w:type="character" w:styleId="901" w:customStyle="1">
    <w:name w:val="Верхний колонтитул Знак"/>
    <w:link w:val="900"/>
    <w:rPr>
      <w:sz w:val="28"/>
    </w:rPr>
  </w:style>
  <w:style w:type="paragraph" w:styleId="902">
    <w:name w:val="Balloon Text"/>
    <w:basedOn w:val="718"/>
    <w:link w:val="903"/>
    <w:rPr>
      <w:rFonts w:ascii="Tahoma" w:hAnsi="Tahoma" w:cs="Tahoma"/>
      <w:sz w:val="16"/>
      <w:szCs w:val="16"/>
    </w:rPr>
  </w:style>
  <w:style w:type="character" w:styleId="903" w:customStyle="1">
    <w:name w:val="Текст выноски Знак"/>
    <w:link w:val="902"/>
    <w:rPr>
      <w:rFonts w:ascii="Tahoma" w:hAnsi="Tahoma" w:cs="Tahoma"/>
      <w:sz w:val="16"/>
      <w:szCs w:val="16"/>
    </w:rPr>
  </w:style>
  <w:style w:type="paragraph" w:styleId="904" w:customStyle="1">
    <w:name w:val="ConsPlusTitle"/>
    <w:pPr>
      <w:widowControl w:val="off"/>
    </w:pPr>
    <w:rPr>
      <w:rFonts w:ascii="Arial" w:hAnsi="Arial" w:cs="Arial"/>
      <w:b/>
      <w:bCs/>
    </w:rPr>
  </w:style>
  <w:style w:type="paragraph" w:styleId="905" w:customStyle="1">
    <w:name w:val="Default"/>
    <w:rPr>
      <w:rFonts w:eastAsia="Calibri"/>
      <w:color w:val="000000"/>
      <w:sz w:val="24"/>
      <w:szCs w:val="24"/>
      <w:lang w:eastAsia="en-US"/>
    </w:rPr>
  </w:style>
  <w:style w:type="paragraph" w:styleId="906" w:customStyle="1">
    <w:name w:val="ConsPlusNormal"/>
    <w:link w:val="903"/>
    <w:pPr>
      <w:keepNext w:val="0"/>
      <w:keepLines w:val="0"/>
      <w:pageBreakBefore w:val="0"/>
      <w:widowControl/>
      <w:suppressLineNumbers w:val="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nil"/>
      <w:spacing w:before="0" w:beforeAutospacing="0" w:after="0" w:afterAutospacing="0" w:line="240" w:lineRule="auto"/>
      <w:ind w:left="0" w:right="0" w:firstLine="0"/>
      <w:contextualSpacing w:val="0"/>
      <w:jc w:val="left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611CF-F6A7-4982-ABB6-961325CC4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revision>12</cp:revision>
  <dcterms:created xsi:type="dcterms:W3CDTF">2024-04-04T09:47:00Z</dcterms:created>
  <dcterms:modified xsi:type="dcterms:W3CDTF">2025-02-19T08:20:11Z</dcterms:modified>
  <cp:version>983040</cp:version>
</cp:coreProperties>
</file>